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B7" w:rsidRPr="000A5180" w:rsidRDefault="001C379E" w:rsidP="00BD1C43">
      <w:pPr>
        <w:tabs>
          <w:tab w:val="left" w:pos="6300"/>
        </w:tabs>
        <w:spacing w:after="0"/>
        <w:rPr>
          <w:rFonts w:ascii="Arial" w:hAnsi="Arial" w:cs="Arial"/>
          <w:b/>
          <w:bCs/>
          <w:sz w:val="22"/>
          <w:szCs w:val="22"/>
          <w:u w:val="single"/>
          <w:lang w:val="en-GB"/>
        </w:rPr>
      </w:pPr>
      <w:r>
        <w:rPr>
          <w:noProof/>
        </w:rPr>
        <w:drawing>
          <wp:anchor distT="0" distB="0" distL="114300" distR="114300" simplePos="0" relativeHeight="251657728" behindDoc="0" locked="0" layoutInCell="1" allowOverlap="1">
            <wp:simplePos x="0" y="0"/>
            <wp:positionH relativeFrom="column">
              <wp:posOffset>2542540</wp:posOffset>
            </wp:positionH>
            <wp:positionV relativeFrom="paragraph">
              <wp:posOffset>-36830</wp:posOffset>
            </wp:positionV>
            <wp:extent cx="821690" cy="804545"/>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1690" cy="804545"/>
                    </a:xfrm>
                    <a:prstGeom prst="rect">
                      <a:avLst/>
                    </a:prstGeom>
                    <a:noFill/>
                  </pic:spPr>
                </pic:pic>
              </a:graphicData>
            </a:graphic>
          </wp:anchor>
        </w:drawing>
      </w:r>
    </w:p>
    <w:p w:rsidR="002746B7" w:rsidRPr="000A5180" w:rsidRDefault="002746B7" w:rsidP="00BD1C43">
      <w:pPr>
        <w:tabs>
          <w:tab w:val="left" w:pos="6300"/>
        </w:tabs>
        <w:spacing w:after="0"/>
        <w:jc w:val="center"/>
        <w:rPr>
          <w:rFonts w:ascii="Arial" w:hAnsi="Arial" w:cs="Arial"/>
          <w:b/>
          <w:bCs/>
          <w:sz w:val="24"/>
          <w:szCs w:val="24"/>
          <w:u w:val="single"/>
          <w:lang w:val="en-GB"/>
        </w:rPr>
      </w:pPr>
      <w:r w:rsidRPr="000A5180">
        <w:rPr>
          <w:rFonts w:ascii="Arial" w:hAnsi="Arial" w:cs="Arial"/>
          <w:b/>
          <w:bCs/>
          <w:sz w:val="24"/>
          <w:szCs w:val="24"/>
          <w:u w:val="single"/>
          <w:lang w:val="en-GB"/>
        </w:rPr>
        <w:t>MONTENEGRO</w:t>
      </w:r>
    </w:p>
    <w:p w:rsidR="002746B7" w:rsidRPr="000A5180" w:rsidRDefault="002746B7" w:rsidP="00BD1C43">
      <w:pPr>
        <w:tabs>
          <w:tab w:val="left" w:pos="6300"/>
        </w:tabs>
        <w:spacing w:after="0"/>
        <w:jc w:val="center"/>
        <w:rPr>
          <w:rFonts w:ascii="Arial" w:hAnsi="Arial" w:cs="Arial"/>
          <w:b/>
          <w:bCs/>
          <w:sz w:val="22"/>
          <w:szCs w:val="22"/>
          <w:u w:val="single"/>
          <w:lang w:val="en-GB"/>
        </w:rPr>
      </w:pPr>
    </w:p>
    <w:p w:rsidR="002746B7" w:rsidRPr="000A5180" w:rsidRDefault="002746B7" w:rsidP="00BD1C43">
      <w:pPr>
        <w:spacing w:after="0"/>
        <w:jc w:val="center"/>
        <w:rPr>
          <w:rFonts w:ascii="Arial" w:hAnsi="Arial" w:cs="Arial"/>
          <w:b/>
          <w:bCs/>
          <w:sz w:val="22"/>
          <w:szCs w:val="22"/>
          <w:lang w:val="en-GB"/>
        </w:rPr>
      </w:pPr>
      <w:r w:rsidRPr="000A5180">
        <w:rPr>
          <w:rFonts w:ascii="Arial" w:hAnsi="Arial" w:cs="Arial"/>
          <w:b/>
          <w:bCs/>
          <w:sz w:val="22"/>
          <w:szCs w:val="22"/>
          <w:lang w:val="en-GB"/>
        </w:rPr>
        <w:t xml:space="preserve">ENVIRONMENTAL PROTECTION AGENCY </w:t>
      </w:r>
    </w:p>
    <w:p w:rsidR="002746B7" w:rsidRPr="000A5180" w:rsidRDefault="002746B7" w:rsidP="00BD1C43">
      <w:pPr>
        <w:spacing w:after="0"/>
        <w:rPr>
          <w:rFonts w:ascii="Arial" w:hAnsi="Arial" w:cs="Arial"/>
          <w:b/>
          <w:bCs/>
          <w:sz w:val="22"/>
          <w:szCs w:val="22"/>
          <w:lang w:val="en-GB"/>
        </w:rPr>
      </w:pPr>
    </w:p>
    <w:p w:rsidR="002746B7" w:rsidRPr="000A5180" w:rsidRDefault="002746B7" w:rsidP="00BD1C43">
      <w:pPr>
        <w:spacing w:after="0"/>
        <w:rPr>
          <w:rFonts w:ascii="Arial" w:hAnsi="Arial" w:cs="Arial"/>
          <w:b/>
          <w:bCs/>
          <w:sz w:val="22"/>
          <w:szCs w:val="22"/>
          <w:lang w:val="en-GB"/>
        </w:rPr>
      </w:pPr>
    </w:p>
    <w:p w:rsidR="00D15BD3" w:rsidRDefault="00D15BD3" w:rsidP="00BD1C43">
      <w:pPr>
        <w:spacing w:after="0"/>
        <w:rPr>
          <w:rFonts w:ascii="Arial" w:hAnsi="Arial" w:cs="Arial"/>
          <w:sz w:val="22"/>
          <w:szCs w:val="22"/>
          <w:lang w:val="en-GB"/>
        </w:rPr>
      </w:pPr>
    </w:p>
    <w:p w:rsidR="002746B7" w:rsidRPr="000A5180" w:rsidRDefault="002746B7" w:rsidP="00073836">
      <w:pPr>
        <w:pStyle w:val="ListParagraph"/>
        <w:spacing w:before="240" w:after="0"/>
        <w:ind w:left="0"/>
        <w:jc w:val="both"/>
        <w:rPr>
          <w:rFonts w:ascii="Arial" w:hAnsi="Arial" w:cs="Arial"/>
          <w:sz w:val="22"/>
          <w:szCs w:val="22"/>
          <w:lang w:val="en-GB"/>
        </w:rPr>
      </w:pPr>
      <w:bookmarkStart w:id="0" w:name="_GoBack"/>
      <w:bookmarkEnd w:id="0"/>
      <w:r w:rsidRPr="000A5180">
        <w:rPr>
          <w:rFonts w:ascii="Arial" w:hAnsi="Arial" w:cs="Arial"/>
          <w:sz w:val="22"/>
          <w:szCs w:val="22"/>
          <w:lang w:val="en-GB"/>
        </w:rPr>
        <w:t>Pursuant to Articles 8 and 12 of the Decree on Limit Values of Pollutants in Liquid Fossil Fuels (Official Gazette of Montenegro 39/10 and 43/2010) the first Programme for Monitoring of the Quality of Liquid Fossil Fuels developed based on the standard MEST EN 14274 was completed in 2011/12. The Programme covered motor petrol (BMB 98 and BMB 95) and diesel fuel.</w:t>
      </w:r>
      <w:r w:rsidRPr="000A5180">
        <w:rPr>
          <w:rFonts w:ascii="Arial" w:hAnsi="Arial" w:cs="Arial"/>
          <w:lang w:val="en-GB"/>
        </w:rPr>
        <w:t xml:space="preserve"> The total number of samples was determined based on the selection of the statistical model </w:t>
      </w:r>
      <w:r w:rsidRPr="000A5180">
        <w:rPr>
          <w:rFonts w:ascii="Arial" w:hAnsi="Arial" w:cs="Arial"/>
          <w:sz w:val="22"/>
          <w:szCs w:val="22"/>
          <w:lang w:val="en-GB"/>
        </w:rPr>
        <w:t>C within the standard MEST EN 14274 and the factor of variability of the fuel quality in Montenegrin market.</w:t>
      </w:r>
    </w:p>
    <w:p w:rsidR="002746B7" w:rsidRPr="000A5180" w:rsidRDefault="002746B7" w:rsidP="001B12ED">
      <w:pPr>
        <w:pStyle w:val="Style10"/>
        <w:widowControl/>
        <w:spacing w:line="276" w:lineRule="auto"/>
        <w:ind w:firstLine="0"/>
        <w:rPr>
          <w:rStyle w:val="FontStyle20"/>
          <w:rFonts w:ascii="Arial" w:hAnsi="Arial"/>
          <w:sz w:val="22"/>
          <w:szCs w:val="22"/>
          <w:lang w:val="en-GB" w:eastAsia="sr-Cyrl-CS"/>
        </w:rPr>
      </w:pPr>
      <w:r w:rsidRPr="000A5180">
        <w:rPr>
          <w:rStyle w:val="FontStyle20"/>
          <w:rFonts w:ascii="Arial" w:hAnsi="Arial" w:cs="Arial"/>
          <w:sz w:val="22"/>
          <w:szCs w:val="22"/>
          <w:lang w:val="en-GB" w:eastAsia="sr-Cyrl-CS"/>
        </w:rPr>
        <w:t>Sampling and laboratory analysis were carried out by the authorised legal entity, accredited in line with the standard MEST ISO/IEC 17025.</w:t>
      </w:r>
    </w:p>
    <w:p w:rsidR="002746B7" w:rsidRDefault="002746B7" w:rsidP="001B12ED">
      <w:pPr>
        <w:pStyle w:val="Style10"/>
        <w:widowControl/>
        <w:spacing w:line="276" w:lineRule="auto"/>
        <w:ind w:firstLine="0"/>
        <w:rPr>
          <w:rStyle w:val="FontStyle20"/>
          <w:rFonts w:ascii="Arial" w:hAnsi="Arial" w:cs="Arial"/>
          <w:sz w:val="22"/>
          <w:szCs w:val="22"/>
          <w:lang w:val="en-GB" w:eastAsia="sr-Cyrl-CS"/>
        </w:rPr>
      </w:pPr>
      <w:r w:rsidRPr="000A5180">
        <w:rPr>
          <w:rStyle w:val="FontStyle20"/>
          <w:rFonts w:ascii="Arial" w:hAnsi="Arial" w:cs="Arial"/>
          <w:sz w:val="22"/>
          <w:szCs w:val="22"/>
          <w:lang w:val="en-GB" w:eastAsia="sr-Cyrl-CS"/>
        </w:rPr>
        <w:t xml:space="preserve">Out of the sampling number </w:t>
      </w:r>
      <w:r>
        <w:rPr>
          <w:rStyle w:val="FontStyle20"/>
          <w:rFonts w:ascii="Arial" w:hAnsi="Arial" w:cs="Arial"/>
          <w:sz w:val="22"/>
          <w:szCs w:val="22"/>
          <w:lang w:val="en-GB" w:eastAsia="sr-Cyrl-CS"/>
        </w:rPr>
        <w:t>defined by the P</w:t>
      </w:r>
      <w:r w:rsidRPr="000A5180">
        <w:rPr>
          <w:rStyle w:val="FontStyle20"/>
          <w:rFonts w:ascii="Arial" w:hAnsi="Arial" w:cs="Arial"/>
          <w:sz w:val="22"/>
          <w:szCs w:val="22"/>
          <w:lang w:val="en-GB" w:eastAsia="sr-Cyrl-CS"/>
        </w:rPr>
        <w:t>rogramme (total of 300), 291 sampling</w:t>
      </w:r>
      <w:r>
        <w:rPr>
          <w:rStyle w:val="FontStyle20"/>
          <w:rFonts w:ascii="Arial" w:hAnsi="Arial" w:cs="Arial"/>
          <w:sz w:val="22"/>
          <w:szCs w:val="22"/>
          <w:lang w:val="en-GB" w:eastAsia="sr-Cyrl-CS"/>
        </w:rPr>
        <w:t>s and analyses were completed. The r</w:t>
      </w:r>
      <w:r w:rsidRPr="000A5180">
        <w:rPr>
          <w:rStyle w:val="FontStyle20"/>
          <w:rFonts w:ascii="Arial" w:hAnsi="Arial" w:cs="Arial"/>
          <w:sz w:val="22"/>
          <w:szCs w:val="22"/>
          <w:lang w:val="en-GB" w:eastAsia="sr-Cyrl-CS"/>
        </w:rPr>
        <w:t>eview of planned and completed activities is presented in the Table below.</w:t>
      </w:r>
    </w:p>
    <w:p w:rsidR="00D15BD3" w:rsidRDefault="00D15BD3" w:rsidP="001B12ED">
      <w:pPr>
        <w:pStyle w:val="Style10"/>
        <w:widowControl/>
        <w:spacing w:line="276" w:lineRule="auto"/>
        <w:ind w:firstLine="0"/>
        <w:rPr>
          <w:rStyle w:val="FontStyle20"/>
          <w:rFonts w:ascii="Arial" w:hAnsi="Arial" w:cs="Arial"/>
          <w:sz w:val="22"/>
          <w:szCs w:val="22"/>
          <w:lang w:val="en-GB" w:eastAsia="sr-Cyrl-CS"/>
        </w:rPr>
      </w:pPr>
    </w:p>
    <w:p w:rsidR="00D15BD3" w:rsidRPr="000A5180" w:rsidRDefault="00D15BD3" w:rsidP="001B12ED">
      <w:pPr>
        <w:pStyle w:val="Style10"/>
        <w:widowControl/>
        <w:spacing w:line="276" w:lineRule="auto"/>
        <w:ind w:firstLine="0"/>
        <w:rPr>
          <w:rStyle w:val="FontStyle20"/>
          <w:rFonts w:ascii="Arial" w:hAnsi="Arial" w:cs="Arial"/>
          <w:sz w:val="22"/>
          <w:szCs w:val="22"/>
          <w:lang w:val="en-GB" w:eastAsia="sr-Cyrl-CS"/>
        </w:rPr>
      </w:pPr>
    </w:p>
    <w:p w:rsidR="002746B7" w:rsidRPr="000A5180" w:rsidRDefault="002746B7" w:rsidP="001B12ED">
      <w:pPr>
        <w:pStyle w:val="Style10"/>
        <w:widowControl/>
        <w:spacing w:line="276" w:lineRule="auto"/>
        <w:ind w:firstLine="0"/>
        <w:rPr>
          <w:rStyle w:val="FontStyle20"/>
          <w:rFonts w:ascii="Arial" w:hAnsi="Arial"/>
          <w:sz w:val="22"/>
          <w:szCs w:val="22"/>
          <w:lang w:val="en-GB" w:eastAsia="sr-Cyrl-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1268"/>
        <w:gridCol w:w="1306"/>
        <w:gridCol w:w="1500"/>
        <w:gridCol w:w="1323"/>
        <w:gridCol w:w="1599"/>
        <w:gridCol w:w="1606"/>
      </w:tblGrid>
      <w:tr w:rsidR="002746B7" w:rsidRPr="000A5180">
        <w:trPr>
          <w:trHeight w:val="591"/>
        </w:trPr>
        <w:tc>
          <w:tcPr>
            <w:tcW w:w="2096" w:type="dxa"/>
            <w:gridSpan w:val="2"/>
            <w:vAlign w:val="center"/>
          </w:tcPr>
          <w:p w:rsidR="002746B7" w:rsidRPr="000A5180" w:rsidRDefault="002746B7" w:rsidP="008122BC">
            <w:pPr>
              <w:spacing w:after="0"/>
              <w:jc w:val="center"/>
              <w:rPr>
                <w:rFonts w:ascii="Arial" w:hAnsi="Arial" w:cs="Arial"/>
                <w:lang w:val="en-GB"/>
              </w:rPr>
            </w:pPr>
            <w:r w:rsidRPr="000A5180">
              <w:rPr>
                <w:rFonts w:ascii="Arial" w:hAnsi="Arial" w:cs="Arial"/>
                <w:b/>
                <w:bCs/>
                <w:lang w:val="en-GB"/>
              </w:rPr>
              <w:t>FUEL TYPE</w:t>
            </w:r>
          </w:p>
        </w:tc>
        <w:tc>
          <w:tcPr>
            <w:tcW w:w="1250" w:type="dxa"/>
            <w:vAlign w:val="center"/>
          </w:tcPr>
          <w:p w:rsidR="002746B7" w:rsidRPr="000A5180" w:rsidRDefault="002746B7" w:rsidP="006960D4">
            <w:pPr>
              <w:spacing w:after="0" w:line="240" w:lineRule="auto"/>
              <w:jc w:val="center"/>
              <w:rPr>
                <w:rFonts w:ascii="Arial" w:hAnsi="Arial" w:cs="Arial"/>
                <w:b/>
                <w:bCs/>
                <w:lang w:val="en-GB"/>
              </w:rPr>
            </w:pPr>
            <w:r w:rsidRPr="000A5180">
              <w:rPr>
                <w:rFonts w:ascii="Arial" w:hAnsi="Arial" w:cs="Arial"/>
                <w:b/>
                <w:bCs/>
                <w:lang w:val="en-GB"/>
              </w:rPr>
              <w:t>PLANNED NUMBER OF ANALYSES</w:t>
            </w:r>
          </w:p>
        </w:tc>
        <w:tc>
          <w:tcPr>
            <w:tcW w:w="1516" w:type="dxa"/>
            <w:vAlign w:val="center"/>
          </w:tcPr>
          <w:p w:rsidR="002746B7" w:rsidRPr="000A5180" w:rsidRDefault="002746B7" w:rsidP="006960D4">
            <w:pPr>
              <w:jc w:val="center"/>
              <w:rPr>
                <w:rFonts w:ascii="Arial" w:hAnsi="Arial" w:cs="Arial"/>
                <w:b/>
                <w:bCs/>
                <w:lang w:val="en-GB"/>
              </w:rPr>
            </w:pPr>
          </w:p>
          <w:p w:rsidR="002746B7" w:rsidRPr="000A5180" w:rsidRDefault="002746B7" w:rsidP="006960D4">
            <w:pPr>
              <w:spacing w:after="0" w:line="240" w:lineRule="auto"/>
              <w:jc w:val="center"/>
              <w:rPr>
                <w:rFonts w:ascii="Arial" w:hAnsi="Arial" w:cs="Arial"/>
                <w:b/>
                <w:bCs/>
                <w:lang w:val="en-GB"/>
              </w:rPr>
            </w:pPr>
            <w:r w:rsidRPr="000A5180">
              <w:rPr>
                <w:rFonts w:ascii="Arial" w:hAnsi="Arial" w:cs="Arial"/>
                <w:b/>
                <w:bCs/>
                <w:lang w:val="en-GB"/>
              </w:rPr>
              <w:t>NUMBER OF COMPLETED ANALYSES</w:t>
            </w:r>
          </w:p>
        </w:tc>
        <w:tc>
          <w:tcPr>
            <w:tcW w:w="1405" w:type="dxa"/>
            <w:vAlign w:val="center"/>
          </w:tcPr>
          <w:p w:rsidR="002746B7" w:rsidRPr="000A5180" w:rsidRDefault="002746B7" w:rsidP="006960D4">
            <w:pPr>
              <w:spacing w:after="0" w:line="240" w:lineRule="auto"/>
              <w:jc w:val="center"/>
              <w:rPr>
                <w:rFonts w:ascii="Arial" w:hAnsi="Arial" w:cs="Arial"/>
                <w:b/>
                <w:bCs/>
                <w:lang w:val="en-GB"/>
              </w:rPr>
            </w:pPr>
          </w:p>
          <w:p w:rsidR="002746B7" w:rsidRPr="000A5180" w:rsidRDefault="002746B7" w:rsidP="006960D4">
            <w:pPr>
              <w:spacing w:after="0" w:line="240" w:lineRule="auto"/>
              <w:jc w:val="center"/>
              <w:rPr>
                <w:rFonts w:ascii="Arial" w:hAnsi="Arial" w:cs="Arial"/>
                <w:b/>
                <w:bCs/>
                <w:lang w:val="en-GB"/>
              </w:rPr>
            </w:pPr>
            <w:r w:rsidRPr="000A5180">
              <w:rPr>
                <w:rFonts w:ascii="Arial" w:hAnsi="Arial" w:cs="Arial"/>
                <w:b/>
                <w:bCs/>
                <w:lang w:val="en-GB"/>
              </w:rPr>
              <w:t>TOTAL PLANNED</w:t>
            </w:r>
          </w:p>
        </w:tc>
        <w:tc>
          <w:tcPr>
            <w:tcW w:w="1673" w:type="dxa"/>
            <w:vAlign w:val="center"/>
          </w:tcPr>
          <w:p w:rsidR="002746B7" w:rsidRPr="000A5180" w:rsidRDefault="002746B7" w:rsidP="006960D4">
            <w:pPr>
              <w:spacing w:after="0" w:line="240" w:lineRule="auto"/>
              <w:jc w:val="center"/>
              <w:rPr>
                <w:rFonts w:ascii="Arial" w:hAnsi="Arial" w:cs="Arial"/>
                <w:b/>
                <w:bCs/>
                <w:lang w:val="en-GB"/>
              </w:rPr>
            </w:pPr>
          </w:p>
          <w:p w:rsidR="002746B7" w:rsidRPr="000A5180" w:rsidRDefault="002746B7" w:rsidP="006960D4">
            <w:pPr>
              <w:spacing w:after="0" w:line="240" w:lineRule="auto"/>
              <w:jc w:val="center"/>
              <w:rPr>
                <w:rFonts w:ascii="Arial" w:hAnsi="Arial" w:cs="Arial"/>
                <w:b/>
                <w:bCs/>
                <w:lang w:val="en-GB"/>
              </w:rPr>
            </w:pPr>
            <w:r w:rsidRPr="000A5180">
              <w:rPr>
                <w:rFonts w:ascii="Arial" w:hAnsi="Arial" w:cs="Arial"/>
                <w:b/>
                <w:bCs/>
                <w:lang w:val="en-GB"/>
              </w:rPr>
              <w:t>TOTAL COMPLETED</w:t>
            </w:r>
          </w:p>
        </w:tc>
        <w:tc>
          <w:tcPr>
            <w:tcW w:w="1528" w:type="dxa"/>
          </w:tcPr>
          <w:p w:rsidR="002746B7" w:rsidRPr="000A5180" w:rsidRDefault="002746B7" w:rsidP="006960D4">
            <w:pPr>
              <w:spacing w:after="0" w:line="240" w:lineRule="auto"/>
              <w:jc w:val="center"/>
              <w:rPr>
                <w:rFonts w:ascii="Arial" w:hAnsi="Arial" w:cs="Arial"/>
                <w:b/>
                <w:bCs/>
                <w:lang w:val="en-GB"/>
              </w:rPr>
            </w:pPr>
          </w:p>
          <w:p w:rsidR="002746B7" w:rsidRPr="000A5180" w:rsidRDefault="002746B7" w:rsidP="006960D4">
            <w:pPr>
              <w:spacing w:after="0" w:line="240" w:lineRule="auto"/>
              <w:jc w:val="center"/>
              <w:rPr>
                <w:rFonts w:ascii="Arial" w:hAnsi="Arial" w:cs="Arial"/>
                <w:b/>
                <w:bCs/>
                <w:lang w:val="en-GB"/>
              </w:rPr>
            </w:pPr>
          </w:p>
          <w:p w:rsidR="002746B7" w:rsidRPr="000A5180" w:rsidRDefault="002746B7" w:rsidP="006960D4">
            <w:pPr>
              <w:spacing w:after="0" w:line="240" w:lineRule="auto"/>
              <w:jc w:val="center"/>
              <w:rPr>
                <w:rFonts w:ascii="Arial" w:hAnsi="Arial" w:cs="Arial"/>
                <w:b/>
                <w:bCs/>
                <w:lang w:val="en-GB"/>
              </w:rPr>
            </w:pPr>
          </w:p>
          <w:p w:rsidR="002746B7" w:rsidRPr="000A5180" w:rsidRDefault="002746B7" w:rsidP="006960D4">
            <w:pPr>
              <w:spacing w:after="0" w:line="240" w:lineRule="auto"/>
              <w:jc w:val="center"/>
              <w:rPr>
                <w:rFonts w:ascii="Arial" w:hAnsi="Arial" w:cs="Arial"/>
                <w:b/>
                <w:bCs/>
                <w:lang w:val="en-GB"/>
              </w:rPr>
            </w:pPr>
            <w:r w:rsidRPr="000A5180">
              <w:rPr>
                <w:rFonts w:ascii="Arial" w:hAnsi="Arial" w:cs="Arial"/>
                <w:b/>
                <w:bCs/>
                <w:lang w:val="en-GB"/>
              </w:rPr>
              <w:t>PERCENTAGE OF COMPLETION</w:t>
            </w:r>
          </w:p>
          <w:p w:rsidR="002746B7" w:rsidRPr="000A5180" w:rsidRDefault="002746B7" w:rsidP="006960D4">
            <w:pPr>
              <w:spacing w:after="0" w:line="240" w:lineRule="auto"/>
              <w:jc w:val="center"/>
              <w:rPr>
                <w:rFonts w:ascii="Arial" w:hAnsi="Arial" w:cs="Arial"/>
                <w:b/>
                <w:bCs/>
                <w:lang w:val="en-GB"/>
              </w:rPr>
            </w:pPr>
            <w:r w:rsidRPr="000A5180">
              <w:rPr>
                <w:rFonts w:ascii="Arial" w:hAnsi="Arial" w:cs="Arial"/>
                <w:b/>
                <w:bCs/>
                <w:lang w:val="en-GB"/>
              </w:rPr>
              <w:t>%</w:t>
            </w:r>
          </w:p>
        </w:tc>
      </w:tr>
      <w:tr w:rsidR="002746B7" w:rsidRPr="000A5180">
        <w:trPr>
          <w:trHeight w:val="179"/>
        </w:trPr>
        <w:tc>
          <w:tcPr>
            <w:tcW w:w="889" w:type="dxa"/>
            <w:vMerge w:val="restart"/>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Petrol</w:t>
            </w:r>
          </w:p>
        </w:tc>
        <w:tc>
          <w:tcPr>
            <w:tcW w:w="1207"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BMB-95</w:t>
            </w:r>
          </w:p>
        </w:tc>
        <w:tc>
          <w:tcPr>
            <w:tcW w:w="1250"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100</w:t>
            </w:r>
          </w:p>
        </w:tc>
        <w:tc>
          <w:tcPr>
            <w:tcW w:w="1516"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98</w:t>
            </w:r>
          </w:p>
        </w:tc>
        <w:tc>
          <w:tcPr>
            <w:tcW w:w="1405" w:type="dxa"/>
            <w:vMerge w:val="restart"/>
          </w:tcPr>
          <w:p w:rsidR="002746B7" w:rsidRPr="000A5180" w:rsidRDefault="002746B7" w:rsidP="008122BC">
            <w:pPr>
              <w:spacing w:after="0" w:line="240" w:lineRule="auto"/>
              <w:jc w:val="center"/>
              <w:rPr>
                <w:rFonts w:ascii="Arial" w:hAnsi="Arial" w:cs="Arial"/>
                <w:sz w:val="22"/>
                <w:szCs w:val="22"/>
                <w:lang w:val="en-GB"/>
              </w:rPr>
            </w:pPr>
          </w:p>
          <w:p w:rsidR="002746B7" w:rsidRPr="000A5180" w:rsidRDefault="002746B7" w:rsidP="008122BC">
            <w:pPr>
              <w:spacing w:after="0" w:line="240" w:lineRule="auto"/>
              <w:jc w:val="center"/>
              <w:rPr>
                <w:rFonts w:ascii="Arial" w:hAnsi="Arial" w:cs="Arial"/>
                <w:sz w:val="22"/>
                <w:szCs w:val="22"/>
                <w:lang w:val="en-GB"/>
              </w:rPr>
            </w:pPr>
          </w:p>
          <w:p w:rsidR="002746B7" w:rsidRPr="000A5180" w:rsidRDefault="002746B7" w:rsidP="000C5E04">
            <w:pPr>
              <w:spacing w:after="0" w:line="240" w:lineRule="auto"/>
              <w:jc w:val="center"/>
              <w:rPr>
                <w:rFonts w:ascii="Arial" w:hAnsi="Arial" w:cs="Arial"/>
                <w:sz w:val="22"/>
                <w:szCs w:val="22"/>
                <w:lang w:val="en-GB"/>
              </w:rPr>
            </w:pPr>
            <w:r w:rsidRPr="000A5180">
              <w:rPr>
                <w:rFonts w:ascii="Arial" w:hAnsi="Arial" w:cs="Arial"/>
                <w:sz w:val="22"/>
                <w:szCs w:val="22"/>
                <w:lang w:val="en-GB"/>
              </w:rPr>
              <w:t>300</w:t>
            </w:r>
          </w:p>
        </w:tc>
        <w:tc>
          <w:tcPr>
            <w:tcW w:w="1673" w:type="dxa"/>
            <w:vMerge w:val="restart"/>
          </w:tcPr>
          <w:p w:rsidR="002746B7" w:rsidRPr="000A5180" w:rsidRDefault="002746B7" w:rsidP="008122BC">
            <w:pPr>
              <w:spacing w:after="0" w:line="240" w:lineRule="auto"/>
              <w:jc w:val="center"/>
              <w:rPr>
                <w:rFonts w:ascii="Arial" w:hAnsi="Arial" w:cs="Arial"/>
                <w:sz w:val="22"/>
                <w:szCs w:val="22"/>
                <w:lang w:val="en-GB"/>
              </w:rPr>
            </w:pPr>
          </w:p>
          <w:p w:rsidR="002746B7" w:rsidRPr="000A5180" w:rsidRDefault="002746B7" w:rsidP="008122BC">
            <w:pPr>
              <w:spacing w:after="0" w:line="240" w:lineRule="auto"/>
              <w:jc w:val="center"/>
              <w:rPr>
                <w:rFonts w:ascii="Arial" w:hAnsi="Arial" w:cs="Arial"/>
                <w:sz w:val="22"/>
                <w:szCs w:val="22"/>
                <w:lang w:val="en-GB"/>
              </w:rPr>
            </w:pPr>
          </w:p>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291</w:t>
            </w:r>
          </w:p>
        </w:tc>
        <w:tc>
          <w:tcPr>
            <w:tcW w:w="1528" w:type="dxa"/>
            <w:vMerge w:val="restart"/>
          </w:tcPr>
          <w:p w:rsidR="002746B7" w:rsidRPr="000A5180" w:rsidRDefault="002746B7" w:rsidP="008122BC">
            <w:pPr>
              <w:spacing w:after="0" w:line="240" w:lineRule="auto"/>
              <w:jc w:val="center"/>
              <w:rPr>
                <w:rFonts w:ascii="Arial" w:hAnsi="Arial" w:cs="Arial"/>
                <w:sz w:val="22"/>
                <w:szCs w:val="22"/>
                <w:lang w:val="en-GB"/>
              </w:rPr>
            </w:pPr>
          </w:p>
          <w:p w:rsidR="002746B7" w:rsidRPr="000A5180" w:rsidRDefault="002746B7" w:rsidP="008122BC">
            <w:pPr>
              <w:spacing w:after="0" w:line="240" w:lineRule="auto"/>
              <w:jc w:val="center"/>
              <w:rPr>
                <w:rFonts w:ascii="Arial" w:hAnsi="Arial" w:cs="Arial"/>
                <w:sz w:val="22"/>
                <w:szCs w:val="22"/>
                <w:lang w:val="en-GB"/>
              </w:rPr>
            </w:pPr>
          </w:p>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97</w:t>
            </w:r>
          </w:p>
        </w:tc>
      </w:tr>
      <w:tr w:rsidR="002746B7" w:rsidRPr="000A5180">
        <w:trPr>
          <w:trHeight w:val="195"/>
        </w:trPr>
        <w:tc>
          <w:tcPr>
            <w:tcW w:w="889" w:type="dxa"/>
            <w:vMerge/>
            <w:vAlign w:val="center"/>
          </w:tcPr>
          <w:p w:rsidR="002746B7" w:rsidRPr="000A5180" w:rsidRDefault="002746B7" w:rsidP="008122BC">
            <w:pPr>
              <w:spacing w:after="0" w:line="240" w:lineRule="auto"/>
              <w:jc w:val="center"/>
              <w:rPr>
                <w:rFonts w:ascii="Arial" w:hAnsi="Arial" w:cs="Arial"/>
                <w:sz w:val="22"/>
                <w:szCs w:val="22"/>
                <w:lang w:val="en-GB"/>
              </w:rPr>
            </w:pPr>
          </w:p>
        </w:tc>
        <w:tc>
          <w:tcPr>
            <w:tcW w:w="1207"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MB-98</w:t>
            </w:r>
          </w:p>
        </w:tc>
        <w:tc>
          <w:tcPr>
            <w:tcW w:w="1250"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100</w:t>
            </w:r>
          </w:p>
        </w:tc>
        <w:tc>
          <w:tcPr>
            <w:tcW w:w="1516"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93</w:t>
            </w:r>
          </w:p>
        </w:tc>
        <w:tc>
          <w:tcPr>
            <w:tcW w:w="1405" w:type="dxa"/>
            <w:vMerge/>
            <w:vAlign w:val="center"/>
          </w:tcPr>
          <w:p w:rsidR="002746B7" w:rsidRPr="000A5180" w:rsidRDefault="002746B7" w:rsidP="008122BC">
            <w:pPr>
              <w:spacing w:after="0" w:line="240" w:lineRule="auto"/>
              <w:jc w:val="center"/>
              <w:rPr>
                <w:rFonts w:ascii="Arial" w:hAnsi="Arial" w:cs="Arial"/>
                <w:sz w:val="22"/>
                <w:szCs w:val="22"/>
                <w:lang w:val="en-GB"/>
              </w:rPr>
            </w:pPr>
          </w:p>
        </w:tc>
        <w:tc>
          <w:tcPr>
            <w:tcW w:w="1673" w:type="dxa"/>
            <w:vMerge/>
            <w:vAlign w:val="center"/>
          </w:tcPr>
          <w:p w:rsidR="002746B7" w:rsidRPr="000A5180" w:rsidRDefault="002746B7" w:rsidP="008122BC">
            <w:pPr>
              <w:spacing w:after="0" w:line="240" w:lineRule="auto"/>
              <w:jc w:val="center"/>
              <w:rPr>
                <w:rFonts w:ascii="Arial" w:hAnsi="Arial" w:cs="Arial"/>
                <w:sz w:val="22"/>
                <w:szCs w:val="22"/>
                <w:lang w:val="en-GB"/>
              </w:rPr>
            </w:pPr>
          </w:p>
        </w:tc>
        <w:tc>
          <w:tcPr>
            <w:tcW w:w="1528" w:type="dxa"/>
            <w:vMerge/>
          </w:tcPr>
          <w:p w:rsidR="002746B7" w:rsidRPr="000A5180" w:rsidRDefault="002746B7" w:rsidP="008122BC">
            <w:pPr>
              <w:spacing w:after="0" w:line="240" w:lineRule="auto"/>
              <w:jc w:val="center"/>
              <w:rPr>
                <w:rFonts w:ascii="Arial" w:hAnsi="Arial" w:cs="Arial"/>
                <w:sz w:val="22"/>
                <w:szCs w:val="22"/>
                <w:lang w:val="en-GB"/>
              </w:rPr>
            </w:pPr>
          </w:p>
        </w:tc>
      </w:tr>
      <w:tr w:rsidR="002746B7" w:rsidRPr="000A5180">
        <w:trPr>
          <w:trHeight w:val="220"/>
        </w:trPr>
        <w:tc>
          <w:tcPr>
            <w:tcW w:w="889" w:type="dxa"/>
            <w:vMerge w:val="restart"/>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 xml:space="preserve">Diesel </w:t>
            </w:r>
          </w:p>
          <w:p w:rsidR="002746B7" w:rsidRPr="000A5180" w:rsidRDefault="002746B7" w:rsidP="008122BC">
            <w:pPr>
              <w:spacing w:after="0" w:line="240" w:lineRule="auto"/>
              <w:jc w:val="center"/>
              <w:rPr>
                <w:rFonts w:ascii="Arial" w:hAnsi="Arial" w:cs="Arial"/>
                <w:sz w:val="22"/>
                <w:szCs w:val="22"/>
                <w:lang w:val="en-GB"/>
              </w:rPr>
            </w:pPr>
          </w:p>
        </w:tc>
        <w:tc>
          <w:tcPr>
            <w:tcW w:w="1207" w:type="dxa"/>
            <w:vAlign w:val="center"/>
          </w:tcPr>
          <w:p w:rsidR="002746B7" w:rsidRPr="000A5180" w:rsidRDefault="002746B7" w:rsidP="00586AEA">
            <w:pPr>
              <w:spacing w:after="0" w:line="240" w:lineRule="auto"/>
              <w:jc w:val="center"/>
              <w:rPr>
                <w:rFonts w:ascii="Arial" w:hAnsi="Arial" w:cs="Arial"/>
                <w:sz w:val="22"/>
                <w:szCs w:val="22"/>
                <w:lang w:val="en-GB"/>
              </w:rPr>
            </w:pPr>
            <w:r w:rsidRPr="000A5180">
              <w:rPr>
                <w:rFonts w:ascii="Arial" w:hAnsi="Arial" w:cs="Arial"/>
                <w:sz w:val="22"/>
                <w:szCs w:val="22"/>
                <w:lang w:val="en-GB"/>
              </w:rPr>
              <w:t>Petrol stations</w:t>
            </w:r>
          </w:p>
          <w:p w:rsidR="002746B7" w:rsidRPr="000A5180" w:rsidRDefault="002746B7" w:rsidP="008122BC">
            <w:pPr>
              <w:spacing w:after="0" w:line="240" w:lineRule="auto"/>
              <w:jc w:val="center"/>
              <w:rPr>
                <w:rFonts w:ascii="Arial" w:hAnsi="Arial" w:cs="Arial"/>
                <w:sz w:val="22"/>
                <w:szCs w:val="22"/>
                <w:lang w:val="en-GB"/>
              </w:rPr>
            </w:pPr>
          </w:p>
        </w:tc>
        <w:tc>
          <w:tcPr>
            <w:tcW w:w="1250"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80</w:t>
            </w:r>
          </w:p>
        </w:tc>
        <w:tc>
          <w:tcPr>
            <w:tcW w:w="1516"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80</w:t>
            </w:r>
          </w:p>
        </w:tc>
        <w:tc>
          <w:tcPr>
            <w:tcW w:w="1405" w:type="dxa"/>
            <w:vMerge/>
            <w:vAlign w:val="center"/>
          </w:tcPr>
          <w:p w:rsidR="002746B7" w:rsidRPr="000A5180" w:rsidRDefault="002746B7" w:rsidP="00586AEA">
            <w:pPr>
              <w:spacing w:after="0" w:line="240" w:lineRule="auto"/>
              <w:jc w:val="center"/>
              <w:rPr>
                <w:rFonts w:ascii="Arial" w:hAnsi="Arial" w:cs="Arial"/>
                <w:sz w:val="22"/>
                <w:szCs w:val="22"/>
                <w:lang w:val="en-GB"/>
              </w:rPr>
            </w:pPr>
          </w:p>
        </w:tc>
        <w:tc>
          <w:tcPr>
            <w:tcW w:w="1673" w:type="dxa"/>
            <w:vMerge/>
            <w:vAlign w:val="center"/>
          </w:tcPr>
          <w:p w:rsidR="002746B7" w:rsidRPr="000A5180" w:rsidRDefault="002746B7" w:rsidP="008122BC">
            <w:pPr>
              <w:spacing w:after="0" w:line="240" w:lineRule="auto"/>
              <w:jc w:val="center"/>
              <w:rPr>
                <w:rFonts w:ascii="Arial" w:hAnsi="Arial" w:cs="Arial"/>
                <w:sz w:val="22"/>
                <w:szCs w:val="22"/>
                <w:lang w:val="en-GB"/>
              </w:rPr>
            </w:pPr>
          </w:p>
        </w:tc>
        <w:tc>
          <w:tcPr>
            <w:tcW w:w="1528" w:type="dxa"/>
            <w:vMerge/>
          </w:tcPr>
          <w:p w:rsidR="002746B7" w:rsidRPr="000A5180" w:rsidRDefault="002746B7" w:rsidP="008122BC">
            <w:pPr>
              <w:spacing w:after="0" w:line="240" w:lineRule="auto"/>
              <w:jc w:val="center"/>
              <w:rPr>
                <w:rFonts w:ascii="Arial" w:hAnsi="Arial" w:cs="Arial"/>
                <w:sz w:val="22"/>
                <w:szCs w:val="22"/>
                <w:lang w:val="en-GB"/>
              </w:rPr>
            </w:pPr>
          </w:p>
        </w:tc>
      </w:tr>
      <w:tr w:rsidR="002746B7" w:rsidRPr="000A5180">
        <w:trPr>
          <w:trHeight w:val="220"/>
        </w:trPr>
        <w:tc>
          <w:tcPr>
            <w:tcW w:w="889" w:type="dxa"/>
            <w:vMerge/>
            <w:vAlign w:val="center"/>
          </w:tcPr>
          <w:p w:rsidR="002746B7" w:rsidRPr="000A5180" w:rsidRDefault="002746B7" w:rsidP="008122BC">
            <w:pPr>
              <w:spacing w:after="0" w:line="240" w:lineRule="auto"/>
              <w:jc w:val="center"/>
              <w:rPr>
                <w:rFonts w:ascii="Arial" w:hAnsi="Arial" w:cs="Arial"/>
                <w:sz w:val="22"/>
                <w:szCs w:val="22"/>
                <w:lang w:val="en-GB"/>
              </w:rPr>
            </w:pPr>
          </w:p>
        </w:tc>
        <w:tc>
          <w:tcPr>
            <w:tcW w:w="1207"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 xml:space="preserve">Reservoirs </w:t>
            </w:r>
          </w:p>
        </w:tc>
        <w:tc>
          <w:tcPr>
            <w:tcW w:w="1250"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20</w:t>
            </w:r>
          </w:p>
        </w:tc>
        <w:tc>
          <w:tcPr>
            <w:tcW w:w="1516" w:type="dxa"/>
            <w:vAlign w:val="center"/>
          </w:tcPr>
          <w:p w:rsidR="002746B7" w:rsidRPr="000A5180" w:rsidRDefault="002746B7" w:rsidP="008122BC">
            <w:pPr>
              <w:spacing w:after="0" w:line="240" w:lineRule="auto"/>
              <w:jc w:val="center"/>
              <w:rPr>
                <w:rFonts w:ascii="Arial" w:hAnsi="Arial" w:cs="Arial"/>
                <w:sz w:val="22"/>
                <w:szCs w:val="22"/>
                <w:lang w:val="en-GB"/>
              </w:rPr>
            </w:pPr>
            <w:r w:rsidRPr="000A5180">
              <w:rPr>
                <w:rFonts w:ascii="Arial" w:hAnsi="Arial" w:cs="Arial"/>
                <w:sz w:val="22"/>
                <w:szCs w:val="22"/>
                <w:lang w:val="en-GB"/>
              </w:rPr>
              <w:t>20</w:t>
            </w:r>
          </w:p>
        </w:tc>
        <w:tc>
          <w:tcPr>
            <w:tcW w:w="1405" w:type="dxa"/>
            <w:vMerge/>
            <w:vAlign w:val="center"/>
          </w:tcPr>
          <w:p w:rsidR="002746B7" w:rsidRPr="000A5180" w:rsidRDefault="002746B7" w:rsidP="008122BC">
            <w:pPr>
              <w:spacing w:after="0" w:line="240" w:lineRule="auto"/>
              <w:jc w:val="center"/>
              <w:rPr>
                <w:rFonts w:ascii="Arial" w:hAnsi="Arial" w:cs="Arial"/>
                <w:sz w:val="22"/>
                <w:szCs w:val="22"/>
                <w:lang w:val="en-GB"/>
              </w:rPr>
            </w:pPr>
          </w:p>
        </w:tc>
        <w:tc>
          <w:tcPr>
            <w:tcW w:w="1673" w:type="dxa"/>
            <w:vMerge/>
            <w:vAlign w:val="center"/>
          </w:tcPr>
          <w:p w:rsidR="002746B7" w:rsidRPr="000A5180" w:rsidRDefault="002746B7" w:rsidP="008122BC">
            <w:pPr>
              <w:spacing w:after="0" w:line="240" w:lineRule="auto"/>
              <w:jc w:val="center"/>
              <w:rPr>
                <w:rFonts w:ascii="Arial" w:hAnsi="Arial" w:cs="Arial"/>
                <w:sz w:val="22"/>
                <w:szCs w:val="22"/>
                <w:lang w:val="en-GB"/>
              </w:rPr>
            </w:pPr>
          </w:p>
        </w:tc>
        <w:tc>
          <w:tcPr>
            <w:tcW w:w="1528" w:type="dxa"/>
            <w:vMerge/>
          </w:tcPr>
          <w:p w:rsidR="002746B7" w:rsidRPr="000A5180" w:rsidRDefault="002746B7" w:rsidP="008122BC">
            <w:pPr>
              <w:spacing w:after="0" w:line="240" w:lineRule="auto"/>
              <w:jc w:val="center"/>
              <w:rPr>
                <w:rFonts w:ascii="Arial" w:hAnsi="Arial" w:cs="Arial"/>
                <w:sz w:val="22"/>
                <w:szCs w:val="22"/>
                <w:lang w:val="en-GB"/>
              </w:rPr>
            </w:pPr>
          </w:p>
        </w:tc>
      </w:tr>
    </w:tbl>
    <w:p w:rsidR="002746B7" w:rsidRDefault="002746B7" w:rsidP="0090443B">
      <w:pPr>
        <w:pStyle w:val="ListParagraph"/>
        <w:ind w:left="0"/>
        <w:jc w:val="both"/>
        <w:rPr>
          <w:rFonts w:ascii="Arial" w:hAnsi="Arial" w:cs="Arial"/>
          <w:sz w:val="22"/>
          <w:szCs w:val="22"/>
          <w:lang w:val="en-GB"/>
        </w:rPr>
      </w:pPr>
    </w:p>
    <w:p w:rsidR="00D15BD3" w:rsidRDefault="00D15BD3" w:rsidP="0090443B">
      <w:pPr>
        <w:pStyle w:val="ListParagraph"/>
        <w:ind w:left="0"/>
        <w:jc w:val="both"/>
        <w:rPr>
          <w:rFonts w:ascii="Arial" w:hAnsi="Arial" w:cs="Arial"/>
          <w:sz w:val="22"/>
          <w:szCs w:val="22"/>
          <w:lang w:val="en-GB"/>
        </w:rPr>
      </w:pPr>
    </w:p>
    <w:p w:rsidR="002746B7" w:rsidRPr="000A5180" w:rsidRDefault="002746B7" w:rsidP="0090443B">
      <w:pPr>
        <w:pStyle w:val="ListParagraph"/>
        <w:ind w:left="0"/>
        <w:jc w:val="both"/>
        <w:rPr>
          <w:rFonts w:ascii="Arial" w:hAnsi="Arial" w:cs="Arial"/>
          <w:sz w:val="22"/>
          <w:szCs w:val="22"/>
          <w:lang w:val="en-GB"/>
        </w:rPr>
      </w:pPr>
      <w:r w:rsidRPr="000A5180">
        <w:rPr>
          <w:rFonts w:ascii="Arial" w:hAnsi="Arial" w:cs="Arial"/>
          <w:sz w:val="22"/>
          <w:szCs w:val="22"/>
          <w:lang w:val="en-GB"/>
        </w:rPr>
        <w:t xml:space="preserve">The reason why 3% of analyses failed to be completed is non-existence of an updated database with the Energy Regulatory Agency related to the type of fuel that suppliers distribute on petrol stations in Montenegro. Based on the field visit by environmental inspection during the carrying </w:t>
      </w:r>
      <w:r w:rsidRPr="000A5180">
        <w:rPr>
          <w:rFonts w:ascii="Arial" w:hAnsi="Arial" w:cs="Arial"/>
          <w:sz w:val="22"/>
          <w:szCs w:val="22"/>
          <w:lang w:val="en-GB"/>
        </w:rPr>
        <w:lastRenderedPageBreak/>
        <w:t>out of the monitoring programme of liquid fossil fuels for 2011, the list of suppliers was updated, and it was used in the course of preparation of the Programme of monitoring the quality of liquid fossil fuels for 2012.</w:t>
      </w:r>
    </w:p>
    <w:p w:rsidR="002746B7" w:rsidRPr="000A5180" w:rsidRDefault="002746B7" w:rsidP="0090443B">
      <w:pPr>
        <w:pStyle w:val="ListParagraph"/>
        <w:ind w:left="0"/>
        <w:jc w:val="both"/>
        <w:rPr>
          <w:rFonts w:ascii="Arial" w:hAnsi="Arial" w:cs="Arial"/>
          <w:sz w:val="22"/>
          <w:szCs w:val="22"/>
          <w:lang w:val="en-GB"/>
        </w:rPr>
      </w:pPr>
    </w:p>
    <w:p w:rsidR="002746B7" w:rsidRPr="000A5180" w:rsidRDefault="002746B7" w:rsidP="0090443B">
      <w:pPr>
        <w:pStyle w:val="ListParagraph"/>
        <w:ind w:left="0"/>
        <w:jc w:val="both"/>
        <w:rPr>
          <w:rFonts w:ascii="Arial" w:hAnsi="Arial" w:cs="Arial"/>
          <w:sz w:val="22"/>
          <w:szCs w:val="22"/>
          <w:lang w:val="en-GB"/>
        </w:rPr>
      </w:pPr>
      <w:r>
        <w:rPr>
          <w:rFonts w:ascii="Arial" w:hAnsi="Arial" w:cs="Arial"/>
          <w:sz w:val="22"/>
          <w:szCs w:val="22"/>
          <w:lang w:val="en-GB"/>
        </w:rPr>
        <w:t xml:space="preserve">Based on the analysis of the findings from the report on examination of the quality of fuel that we are enclosing, the conclusion is that </w:t>
      </w:r>
      <w:r>
        <w:rPr>
          <w:rFonts w:ascii="Arial" w:hAnsi="Arial" w:cs="Arial"/>
          <w:sz w:val="22"/>
          <w:szCs w:val="22"/>
          <w:u w:val="single"/>
          <w:lang w:val="en-GB"/>
        </w:rPr>
        <w:t xml:space="preserve">all examined samples of liquid fossil fuels were in line with the </w:t>
      </w:r>
      <w:r w:rsidRPr="000A5180">
        <w:rPr>
          <w:rFonts w:ascii="Arial" w:hAnsi="Arial" w:cs="Arial"/>
          <w:sz w:val="22"/>
          <w:szCs w:val="22"/>
          <w:u w:val="single"/>
          <w:lang w:val="en-GB"/>
        </w:rPr>
        <w:t>Decree</w:t>
      </w:r>
      <w:r w:rsidRPr="000A5180">
        <w:rPr>
          <w:rFonts w:ascii="Arial" w:hAnsi="Arial" w:cs="Arial"/>
          <w:sz w:val="22"/>
          <w:szCs w:val="22"/>
          <w:lang w:val="en-GB"/>
        </w:rPr>
        <w:t xml:space="preserve"> on Limit Values of Pollutants in Liquid Fossil Fuels (Official Gazette of Montenegro 39/10).</w:t>
      </w:r>
    </w:p>
    <w:p w:rsidR="002746B7" w:rsidRPr="000A5180" w:rsidRDefault="002746B7" w:rsidP="008E6268">
      <w:pPr>
        <w:jc w:val="both"/>
        <w:rPr>
          <w:rFonts w:ascii="Arial" w:hAnsi="Arial" w:cs="Arial"/>
          <w:sz w:val="22"/>
          <w:szCs w:val="22"/>
          <w:lang w:val="en-GB"/>
        </w:rPr>
      </w:pPr>
    </w:p>
    <w:p w:rsidR="002746B7" w:rsidRPr="000A5180" w:rsidRDefault="002746B7" w:rsidP="00385395">
      <w:pPr>
        <w:autoSpaceDE w:val="0"/>
        <w:autoSpaceDN w:val="0"/>
        <w:adjustRightInd w:val="0"/>
        <w:spacing w:after="0"/>
        <w:jc w:val="both"/>
        <w:rPr>
          <w:rFonts w:ascii="Arial" w:hAnsi="Arial" w:cs="Arial"/>
          <w:sz w:val="22"/>
          <w:szCs w:val="22"/>
          <w:lang w:val="en-GB"/>
        </w:rPr>
      </w:pPr>
    </w:p>
    <w:p w:rsidR="002746B7" w:rsidRPr="000A5180" w:rsidRDefault="002746B7" w:rsidP="001361E9">
      <w:pPr>
        <w:jc w:val="both"/>
        <w:rPr>
          <w:rFonts w:ascii="Arial" w:hAnsi="Arial" w:cs="Arial"/>
          <w:sz w:val="22"/>
          <w:szCs w:val="22"/>
          <w:lang w:val="en-GB"/>
        </w:rPr>
      </w:pPr>
    </w:p>
    <w:p w:rsidR="002746B7" w:rsidRPr="000A5180" w:rsidRDefault="002746B7" w:rsidP="001361E9">
      <w:pPr>
        <w:spacing w:line="240" w:lineRule="auto"/>
        <w:rPr>
          <w:rFonts w:ascii="Arial" w:hAnsi="Arial" w:cs="Arial"/>
          <w:lang w:val="en-GB"/>
        </w:rPr>
      </w:pPr>
    </w:p>
    <w:p w:rsidR="002746B7" w:rsidRPr="000A5180" w:rsidRDefault="002746B7" w:rsidP="001361E9">
      <w:pPr>
        <w:spacing w:line="240" w:lineRule="auto"/>
        <w:rPr>
          <w:rFonts w:ascii="Arial" w:hAnsi="Arial" w:cs="Arial"/>
          <w:lang w:val="en-GB"/>
        </w:rPr>
      </w:pPr>
    </w:p>
    <w:p w:rsidR="002746B7" w:rsidRPr="000A5180" w:rsidRDefault="002746B7" w:rsidP="001361E9">
      <w:pPr>
        <w:spacing w:line="240" w:lineRule="auto"/>
        <w:rPr>
          <w:rFonts w:ascii="Arial" w:hAnsi="Arial" w:cs="Arial"/>
          <w:b/>
          <w:bCs/>
          <w:sz w:val="24"/>
          <w:szCs w:val="24"/>
          <w:lang w:val="en-GB"/>
        </w:rPr>
      </w:pPr>
      <w:r w:rsidRPr="000A5180">
        <w:rPr>
          <w:rFonts w:ascii="Arial" w:hAnsi="Arial" w:cs="Arial"/>
          <w:lang w:val="en-GB"/>
        </w:rPr>
        <w:tab/>
      </w:r>
      <w:r w:rsidRPr="000A5180">
        <w:rPr>
          <w:rFonts w:ascii="Arial" w:hAnsi="Arial" w:cs="Arial"/>
          <w:lang w:val="en-GB"/>
        </w:rPr>
        <w:tab/>
      </w:r>
      <w:r w:rsidRPr="000A5180">
        <w:rPr>
          <w:rFonts w:ascii="Arial" w:hAnsi="Arial" w:cs="Arial"/>
          <w:lang w:val="en-GB"/>
        </w:rPr>
        <w:tab/>
      </w:r>
      <w:r w:rsidRPr="000A5180">
        <w:rPr>
          <w:rFonts w:ascii="Arial" w:hAnsi="Arial" w:cs="Arial"/>
          <w:lang w:val="en-GB"/>
        </w:rPr>
        <w:tab/>
      </w:r>
      <w:r w:rsidRPr="000A5180">
        <w:rPr>
          <w:rFonts w:ascii="Arial" w:hAnsi="Arial" w:cs="Arial"/>
          <w:lang w:val="en-GB"/>
        </w:rPr>
        <w:tab/>
      </w:r>
      <w:r w:rsidRPr="000A5180">
        <w:rPr>
          <w:rFonts w:ascii="Arial" w:hAnsi="Arial" w:cs="Arial"/>
          <w:lang w:val="en-GB"/>
        </w:rPr>
        <w:tab/>
      </w:r>
      <w:r w:rsidRPr="000A5180">
        <w:rPr>
          <w:rFonts w:ascii="Arial" w:hAnsi="Arial" w:cs="Arial"/>
          <w:lang w:val="en-GB"/>
        </w:rPr>
        <w:tab/>
      </w:r>
      <w:r w:rsidRPr="000A5180">
        <w:rPr>
          <w:rFonts w:ascii="Arial" w:hAnsi="Arial" w:cs="Arial"/>
          <w:lang w:val="en-GB"/>
        </w:rPr>
        <w:tab/>
      </w:r>
      <w:r w:rsidRPr="000A5180">
        <w:rPr>
          <w:rFonts w:ascii="Arial" w:hAnsi="Arial" w:cs="Arial"/>
          <w:b/>
          <w:bCs/>
          <w:lang w:val="en-GB"/>
        </w:rPr>
        <w:t xml:space="preserve">             </w:t>
      </w:r>
      <w:r w:rsidRPr="000A5180">
        <w:rPr>
          <w:rFonts w:ascii="Arial" w:hAnsi="Arial" w:cs="Arial"/>
          <w:b/>
          <w:bCs/>
          <w:sz w:val="24"/>
          <w:szCs w:val="24"/>
          <w:lang w:val="en-GB"/>
        </w:rPr>
        <w:t>Director</w:t>
      </w:r>
    </w:p>
    <w:p w:rsidR="002746B7" w:rsidRPr="000A5180" w:rsidRDefault="002746B7" w:rsidP="001361E9">
      <w:pPr>
        <w:spacing w:line="240" w:lineRule="auto"/>
        <w:rPr>
          <w:rFonts w:ascii="Arial" w:hAnsi="Arial" w:cs="Arial"/>
          <w:sz w:val="22"/>
          <w:szCs w:val="22"/>
          <w:lang w:val="en-GB"/>
        </w:rPr>
      </w:pPr>
      <w:r w:rsidRPr="000A5180">
        <w:rPr>
          <w:rFonts w:ascii="Arial" w:hAnsi="Arial" w:cs="Arial"/>
          <w:sz w:val="24"/>
          <w:szCs w:val="24"/>
          <w:lang w:val="en-GB"/>
        </w:rPr>
        <w:tab/>
      </w:r>
      <w:r w:rsidRPr="000A5180">
        <w:rPr>
          <w:rFonts w:ascii="Arial" w:hAnsi="Arial" w:cs="Arial"/>
          <w:sz w:val="24"/>
          <w:szCs w:val="24"/>
          <w:lang w:val="en-GB"/>
        </w:rPr>
        <w:tab/>
      </w:r>
      <w:r w:rsidRPr="000A5180">
        <w:rPr>
          <w:rFonts w:ascii="Arial" w:hAnsi="Arial" w:cs="Arial"/>
          <w:sz w:val="24"/>
          <w:szCs w:val="24"/>
          <w:lang w:val="en-GB"/>
        </w:rPr>
        <w:tab/>
      </w:r>
      <w:r w:rsidRPr="000A5180">
        <w:rPr>
          <w:rFonts w:ascii="Arial" w:hAnsi="Arial" w:cs="Arial"/>
          <w:sz w:val="24"/>
          <w:szCs w:val="24"/>
          <w:lang w:val="en-GB"/>
        </w:rPr>
        <w:tab/>
      </w:r>
      <w:r w:rsidRPr="000A5180">
        <w:rPr>
          <w:rFonts w:ascii="Arial" w:hAnsi="Arial" w:cs="Arial"/>
          <w:sz w:val="24"/>
          <w:szCs w:val="24"/>
          <w:lang w:val="en-GB"/>
        </w:rPr>
        <w:tab/>
      </w:r>
      <w:r w:rsidRPr="000A5180">
        <w:rPr>
          <w:rFonts w:ascii="Arial" w:hAnsi="Arial" w:cs="Arial"/>
          <w:sz w:val="24"/>
          <w:szCs w:val="24"/>
          <w:lang w:val="en-GB"/>
        </w:rPr>
        <w:tab/>
      </w:r>
      <w:r w:rsidRPr="000A5180">
        <w:rPr>
          <w:rFonts w:ascii="Arial" w:hAnsi="Arial" w:cs="Arial"/>
          <w:sz w:val="24"/>
          <w:szCs w:val="24"/>
          <w:lang w:val="en-GB"/>
        </w:rPr>
        <w:tab/>
      </w:r>
      <w:r w:rsidRPr="000A5180">
        <w:rPr>
          <w:rFonts w:ascii="Arial" w:hAnsi="Arial" w:cs="Arial"/>
          <w:sz w:val="24"/>
          <w:szCs w:val="24"/>
          <w:lang w:val="en-GB"/>
        </w:rPr>
        <w:tab/>
        <w:t xml:space="preserve">     </w:t>
      </w:r>
      <w:r w:rsidRPr="000A5180">
        <w:rPr>
          <w:rFonts w:ascii="Arial" w:hAnsi="Arial" w:cs="Arial"/>
          <w:sz w:val="22"/>
          <w:szCs w:val="22"/>
          <w:lang w:val="en-GB"/>
        </w:rPr>
        <w:t>Daliborka Pejović</w:t>
      </w:r>
    </w:p>
    <w:p w:rsidR="002746B7" w:rsidRPr="000A5180" w:rsidRDefault="002746B7" w:rsidP="001361E9">
      <w:pPr>
        <w:jc w:val="center"/>
        <w:rPr>
          <w:rFonts w:ascii="Arial" w:hAnsi="Arial" w:cs="Arial"/>
          <w:sz w:val="22"/>
          <w:szCs w:val="22"/>
          <w:lang w:val="en-GB"/>
        </w:rPr>
      </w:pPr>
    </w:p>
    <w:sectPr w:rsidR="002746B7" w:rsidRPr="000A5180" w:rsidSect="00531C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A74"/>
    <w:multiLevelType w:val="hybridMultilevel"/>
    <w:tmpl w:val="C88C1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6F332F"/>
    <w:multiLevelType w:val="hybridMultilevel"/>
    <w:tmpl w:val="EF52B084"/>
    <w:lvl w:ilvl="0" w:tplc="BB4AB33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BD1C43"/>
    <w:rsid w:val="00045141"/>
    <w:rsid w:val="00051575"/>
    <w:rsid w:val="00073836"/>
    <w:rsid w:val="00076182"/>
    <w:rsid w:val="0007737D"/>
    <w:rsid w:val="000A5180"/>
    <w:rsid w:val="000C396C"/>
    <w:rsid w:val="000C5E04"/>
    <w:rsid w:val="001361E9"/>
    <w:rsid w:val="001563BB"/>
    <w:rsid w:val="00162712"/>
    <w:rsid w:val="00180271"/>
    <w:rsid w:val="001940D8"/>
    <w:rsid w:val="001A4A88"/>
    <w:rsid w:val="001B12ED"/>
    <w:rsid w:val="001C379E"/>
    <w:rsid w:val="001D3746"/>
    <w:rsid w:val="001F0E0D"/>
    <w:rsid w:val="00204FE0"/>
    <w:rsid w:val="00242D1A"/>
    <w:rsid w:val="002746B7"/>
    <w:rsid w:val="002765AF"/>
    <w:rsid w:val="00285EDA"/>
    <w:rsid w:val="002A317B"/>
    <w:rsid w:val="002C2CDB"/>
    <w:rsid w:val="002E0C90"/>
    <w:rsid w:val="002F28CB"/>
    <w:rsid w:val="0030277C"/>
    <w:rsid w:val="00313E70"/>
    <w:rsid w:val="003774C2"/>
    <w:rsid w:val="003807B8"/>
    <w:rsid w:val="00385395"/>
    <w:rsid w:val="00392735"/>
    <w:rsid w:val="003A5E3D"/>
    <w:rsid w:val="003B20F5"/>
    <w:rsid w:val="003B213C"/>
    <w:rsid w:val="003C467A"/>
    <w:rsid w:val="003D65F7"/>
    <w:rsid w:val="003E4C02"/>
    <w:rsid w:val="003F5B9A"/>
    <w:rsid w:val="00407083"/>
    <w:rsid w:val="00412221"/>
    <w:rsid w:val="00420414"/>
    <w:rsid w:val="00436F06"/>
    <w:rsid w:val="00452F2F"/>
    <w:rsid w:val="00455B18"/>
    <w:rsid w:val="0046667A"/>
    <w:rsid w:val="004866B2"/>
    <w:rsid w:val="004909EC"/>
    <w:rsid w:val="004A0C40"/>
    <w:rsid w:val="004A236A"/>
    <w:rsid w:val="004B1A3F"/>
    <w:rsid w:val="0051499E"/>
    <w:rsid w:val="00531C28"/>
    <w:rsid w:val="005471EF"/>
    <w:rsid w:val="00563C78"/>
    <w:rsid w:val="00586AEA"/>
    <w:rsid w:val="00591264"/>
    <w:rsid w:val="005E0A2B"/>
    <w:rsid w:val="005F2692"/>
    <w:rsid w:val="005F41AF"/>
    <w:rsid w:val="006058E3"/>
    <w:rsid w:val="00645B58"/>
    <w:rsid w:val="006500B9"/>
    <w:rsid w:val="006960D4"/>
    <w:rsid w:val="006B307D"/>
    <w:rsid w:val="007055D6"/>
    <w:rsid w:val="00724626"/>
    <w:rsid w:val="00726269"/>
    <w:rsid w:val="00754F52"/>
    <w:rsid w:val="0076220F"/>
    <w:rsid w:val="00782E2E"/>
    <w:rsid w:val="007A6583"/>
    <w:rsid w:val="007C6BDE"/>
    <w:rsid w:val="007E0FE6"/>
    <w:rsid w:val="008122BC"/>
    <w:rsid w:val="00832EC1"/>
    <w:rsid w:val="00840FE9"/>
    <w:rsid w:val="00844B3B"/>
    <w:rsid w:val="00845814"/>
    <w:rsid w:val="00857794"/>
    <w:rsid w:val="00864D3D"/>
    <w:rsid w:val="008A5082"/>
    <w:rsid w:val="008E6268"/>
    <w:rsid w:val="0090443B"/>
    <w:rsid w:val="00905EB2"/>
    <w:rsid w:val="00912244"/>
    <w:rsid w:val="009126A3"/>
    <w:rsid w:val="009168C6"/>
    <w:rsid w:val="00933F9D"/>
    <w:rsid w:val="00940533"/>
    <w:rsid w:val="00980E4F"/>
    <w:rsid w:val="009D73E7"/>
    <w:rsid w:val="009E0593"/>
    <w:rsid w:val="00A24405"/>
    <w:rsid w:val="00A257D0"/>
    <w:rsid w:val="00A31D20"/>
    <w:rsid w:val="00A46158"/>
    <w:rsid w:val="00A575A2"/>
    <w:rsid w:val="00A61C66"/>
    <w:rsid w:val="00A71B04"/>
    <w:rsid w:val="00A804A8"/>
    <w:rsid w:val="00A8605D"/>
    <w:rsid w:val="00B43275"/>
    <w:rsid w:val="00B6061C"/>
    <w:rsid w:val="00B76EF1"/>
    <w:rsid w:val="00B878E5"/>
    <w:rsid w:val="00BA4B8C"/>
    <w:rsid w:val="00BD1C43"/>
    <w:rsid w:val="00BD2B32"/>
    <w:rsid w:val="00BE1487"/>
    <w:rsid w:val="00BF1090"/>
    <w:rsid w:val="00BF3AFC"/>
    <w:rsid w:val="00C4733D"/>
    <w:rsid w:val="00C62604"/>
    <w:rsid w:val="00C84B90"/>
    <w:rsid w:val="00C93AED"/>
    <w:rsid w:val="00CA4AD0"/>
    <w:rsid w:val="00D0638C"/>
    <w:rsid w:val="00D147FA"/>
    <w:rsid w:val="00D15BD3"/>
    <w:rsid w:val="00D53AC1"/>
    <w:rsid w:val="00D922F7"/>
    <w:rsid w:val="00DF0428"/>
    <w:rsid w:val="00DF7392"/>
    <w:rsid w:val="00E33534"/>
    <w:rsid w:val="00E63E51"/>
    <w:rsid w:val="00E96409"/>
    <w:rsid w:val="00F30AEA"/>
    <w:rsid w:val="00F40B9D"/>
    <w:rsid w:val="00F52A8B"/>
    <w:rsid w:val="00FA4FCD"/>
    <w:rsid w:val="00FC0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43"/>
    <w:pPr>
      <w:spacing w:after="200" w:line="276" w:lineRule="auto"/>
    </w:pPr>
    <w:rPr>
      <w:rFonts w:ascii="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6">
    <w:name w:val="p16"/>
    <w:basedOn w:val="Normal"/>
    <w:uiPriority w:val="99"/>
    <w:rsid w:val="00864D3D"/>
    <w:pPr>
      <w:spacing w:after="120" w:line="240" w:lineRule="auto"/>
      <w:jc w:val="both"/>
    </w:pPr>
    <w:rPr>
      <w:rFonts w:ascii="Liberation Serif" w:eastAsia="Times New Roman" w:hAnsi="Liberation Serif" w:cs="Liberation Serif"/>
      <w:color w:val="auto"/>
      <w:sz w:val="24"/>
      <w:szCs w:val="24"/>
    </w:rPr>
  </w:style>
  <w:style w:type="character" w:customStyle="1" w:styleId="t24">
    <w:name w:val="t24"/>
    <w:uiPriority w:val="99"/>
    <w:rsid w:val="00864D3D"/>
    <w:rPr>
      <w:rFonts w:ascii="Arial" w:hAnsi="Arial" w:cs="Arial"/>
    </w:rPr>
  </w:style>
  <w:style w:type="character" w:customStyle="1" w:styleId="FontStyle20">
    <w:name w:val="Font Style20"/>
    <w:uiPriority w:val="99"/>
    <w:rsid w:val="00864D3D"/>
    <w:rPr>
      <w:rFonts w:ascii="Times New Roman" w:hAnsi="Times New Roman" w:cs="Times New Roman"/>
      <w:sz w:val="18"/>
      <w:szCs w:val="18"/>
    </w:rPr>
  </w:style>
  <w:style w:type="paragraph" w:styleId="ListParagraph">
    <w:name w:val="List Paragraph"/>
    <w:basedOn w:val="Normal"/>
    <w:uiPriority w:val="99"/>
    <w:qFormat/>
    <w:rsid w:val="00C84B90"/>
    <w:pPr>
      <w:ind w:left="720"/>
    </w:pPr>
  </w:style>
  <w:style w:type="paragraph" w:styleId="HTMLPreformatted">
    <w:name w:val="HTML Preformatted"/>
    <w:basedOn w:val="Normal"/>
    <w:link w:val="HTMLPreformattedChar"/>
    <w:uiPriority w:val="99"/>
    <w:semiHidden/>
    <w:rsid w:val="0045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rPr>
  </w:style>
  <w:style w:type="character" w:customStyle="1" w:styleId="HTMLPreformattedChar">
    <w:name w:val="HTML Preformatted Char"/>
    <w:link w:val="HTMLPreformatted"/>
    <w:uiPriority w:val="99"/>
    <w:semiHidden/>
    <w:locked/>
    <w:rsid w:val="00452F2F"/>
    <w:rPr>
      <w:rFonts w:ascii="Courier New" w:hAnsi="Courier New" w:cs="Courier New"/>
      <w:sz w:val="20"/>
      <w:szCs w:val="20"/>
    </w:rPr>
  </w:style>
  <w:style w:type="character" w:customStyle="1" w:styleId="skypepnhcontainer">
    <w:name w:val="skype_pnh_container"/>
    <w:basedOn w:val="DefaultParagraphFont"/>
    <w:uiPriority w:val="99"/>
    <w:rsid w:val="00452F2F"/>
  </w:style>
  <w:style w:type="character" w:customStyle="1" w:styleId="skypepnhleftspan">
    <w:name w:val="skype_pnh_left_span"/>
    <w:basedOn w:val="DefaultParagraphFont"/>
    <w:uiPriority w:val="99"/>
    <w:rsid w:val="00452F2F"/>
  </w:style>
  <w:style w:type="character" w:customStyle="1" w:styleId="skypepnhdropartspan">
    <w:name w:val="skype_pnh_dropart_span"/>
    <w:basedOn w:val="DefaultParagraphFont"/>
    <w:uiPriority w:val="99"/>
    <w:rsid w:val="00452F2F"/>
  </w:style>
  <w:style w:type="character" w:customStyle="1" w:styleId="skypepnhdropartflagspan">
    <w:name w:val="skype_pnh_dropart_flag_span"/>
    <w:basedOn w:val="DefaultParagraphFont"/>
    <w:uiPriority w:val="99"/>
    <w:rsid w:val="00452F2F"/>
  </w:style>
  <w:style w:type="character" w:customStyle="1" w:styleId="skypepnhtextspan">
    <w:name w:val="skype_pnh_text_span"/>
    <w:basedOn w:val="DefaultParagraphFont"/>
    <w:uiPriority w:val="99"/>
    <w:rsid w:val="00452F2F"/>
  </w:style>
  <w:style w:type="character" w:customStyle="1" w:styleId="skypepnhrightspan">
    <w:name w:val="skype_pnh_right_span"/>
    <w:basedOn w:val="DefaultParagraphFont"/>
    <w:uiPriority w:val="99"/>
    <w:rsid w:val="00452F2F"/>
  </w:style>
  <w:style w:type="paragraph" w:customStyle="1" w:styleId="Style10">
    <w:name w:val="Style10"/>
    <w:basedOn w:val="Normal"/>
    <w:uiPriority w:val="99"/>
    <w:rsid w:val="001B12ED"/>
    <w:pPr>
      <w:widowControl w:val="0"/>
      <w:autoSpaceDE w:val="0"/>
      <w:autoSpaceDN w:val="0"/>
      <w:adjustRightInd w:val="0"/>
      <w:spacing w:after="0" w:line="185" w:lineRule="exact"/>
      <w:ind w:firstLine="461"/>
      <w:jc w:val="both"/>
    </w:pPr>
    <w:rPr>
      <w:rFonts w:ascii="Arial" w:eastAsia="Times New Roman" w:hAnsi="Arial" w:cs="Arial"/>
      <w:color w:val="auto"/>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0350061">
      <w:marLeft w:val="0"/>
      <w:marRight w:val="0"/>
      <w:marTop w:val="0"/>
      <w:marBottom w:val="0"/>
      <w:divBdr>
        <w:top w:val="none" w:sz="0" w:space="0" w:color="auto"/>
        <w:left w:val="none" w:sz="0" w:space="0" w:color="auto"/>
        <w:bottom w:val="none" w:sz="0" w:space="0" w:color="auto"/>
        <w:right w:val="none" w:sz="0" w:space="0" w:color="auto"/>
      </w:divBdr>
    </w:div>
    <w:div w:id="1770350062">
      <w:marLeft w:val="0"/>
      <w:marRight w:val="0"/>
      <w:marTop w:val="0"/>
      <w:marBottom w:val="0"/>
      <w:divBdr>
        <w:top w:val="none" w:sz="0" w:space="0" w:color="auto"/>
        <w:left w:val="none" w:sz="0" w:space="0" w:color="auto"/>
        <w:bottom w:val="none" w:sz="0" w:space="0" w:color="auto"/>
        <w:right w:val="none" w:sz="0" w:space="0" w:color="auto"/>
      </w:divBdr>
    </w:div>
    <w:div w:id="1770350063">
      <w:marLeft w:val="0"/>
      <w:marRight w:val="0"/>
      <w:marTop w:val="0"/>
      <w:marBottom w:val="0"/>
      <w:divBdr>
        <w:top w:val="none" w:sz="0" w:space="0" w:color="auto"/>
        <w:left w:val="none" w:sz="0" w:space="0" w:color="auto"/>
        <w:bottom w:val="none" w:sz="0" w:space="0" w:color="auto"/>
        <w:right w:val="none" w:sz="0" w:space="0" w:color="auto"/>
      </w:divBdr>
    </w:div>
    <w:div w:id="1770350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 Djukanovic</dc:creator>
  <cp:lastModifiedBy>Windows User</cp:lastModifiedBy>
  <cp:revision>2</cp:revision>
  <cp:lastPrinted>2012-09-08T20:37:00Z</cp:lastPrinted>
  <dcterms:created xsi:type="dcterms:W3CDTF">2020-02-04T14:49:00Z</dcterms:created>
  <dcterms:modified xsi:type="dcterms:W3CDTF">2020-02-04T14:49:00Z</dcterms:modified>
</cp:coreProperties>
</file>