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F5" w:rsidRPr="00666900" w:rsidRDefault="00292DF5" w:rsidP="006266C6">
      <w:pPr>
        <w:shd w:val="clear" w:color="auto" w:fill="D9D9D9"/>
        <w:tabs>
          <w:tab w:val="left" w:pos="0"/>
        </w:tabs>
        <w:spacing w:before="40" w:after="40"/>
        <w:jc w:val="both"/>
        <w:rPr>
          <w:rFonts w:ascii="Times New Roman" w:hAnsi="Times New Roman"/>
          <w:b/>
          <w:sz w:val="24"/>
          <w:szCs w:val="24"/>
        </w:rPr>
      </w:pPr>
      <w:r w:rsidRPr="00666900">
        <w:rPr>
          <w:rFonts w:ascii="Times New Roman" w:hAnsi="Times New Roman"/>
          <w:b/>
          <w:sz w:val="24"/>
          <w:szCs w:val="24"/>
        </w:rPr>
        <w:t>Directive on groundwater (2006/118/EC)</w:t>
      </w:r>
    </w:p>
    <w:p w:rsidR="00292DF5" w:rsidRPr="00666900" w:rsidRDefault="00292DF5" w:rsidP="006266C6">
      <w:pPr>
        <w:tabs>
          <w:tab w:val="left" w:pos="0"/>
        </w:tabs>
        <w:spacing w:before="40" w:after="40"/>
        <w:jc w:val="both"/>
        <w:rPr>
          <w:rFonts w:ascii="Times New Roman" w:hAnsi="Times New Roman"/>
          <w:sz w:val="24"/>
          <w:szCs w:val="24"/>
        </w:rPr>
      </w:pPr>
    </w:p>
    <w:p w:rsidR="00292DF5" w:rsidRPr="00666900" w:rsidRDefault="00292DF5" w:rsidP="006266C6">
      <w:pPr>
        <w:tabs>
          <w:tab w:val="left" w:pos="0"/>
        </w:tabs>
        <w:spacing w:before="40" w:after="40"/>
        <w:jc w:val="both"/>
        <w:rPr>
          <w:rFonts w:ascii="Times New Roman" w:hAnsi="Times New Roman"/>
          <w:i/>
          <w:sz w:val="24"/>
          <w:szCs w:val="24"/>
        </w:rPr>
      </w:pPr>
      <w:r w:rsidRPr="00666900">
        <w:rPr>
          <w:rFonts w:ascii="Times New Roman" w:hAnsi="Times New Roman"/>
          <w:i/>
          <w:sz w:val="24"/>
          <w:szCs w:val="24"/>
        </w:rPr>
        <w:t>Legal reference</w:t>
      </w:r>
    </w:p>
    <w:p w:rsidR="00292DF5" w:rsidRPr="00666900" w:rsidRDefault="00292DF5" w:rsidP="006266C6">
      <w:pPr>
        <w:tabs>
          <w:tab w:val="left" w:pos="0"/>
        </w:tabs>
        <w:spacing w:before="40" w:after="40"/>
        <w:jc w:val="both"/>
        <w:rPr>
          <w:rFonts w:ascii="Times New Roman" w:hAnsi="Times New Roman"/>
          <w:sz w:val="24"/>
          <w:szCs w:val="24"/>
        </w:rPr>
      </w:pPr>
      <w:r w:rsidRPr="00666900">
        <w:rPr>
          <w:rFonts w:ascii="Times New Roman" w:hAnsi="Times New Roman"/>
          <w:sz w:val="24"/>
          <w:szCs w:val="24"/>
        </w:rPr>
        <w:t xml:space="preserve">Directive 2006/118/EC of the European Parliament and of the Council of 12 December 2006 on </w:t>
      </w:r>
      <w:r w:rsidRPr="00666900">
        <w:rPr>
          <w:rFonts w:ascii="Times New Roman" w:hAnsi="Times New Roman"/>
          <w:b/>
          <w:sz w:val="24"/>
          <w:szCs w:val="24"/>
        </w:rPr>
        <w:t>the protection of groundwater against pollution and deterioration</w:t>
      </w:r>
    </w:p>
    <w:p w:rsidR="00292DF5" w:rsidRPr="00666900" w:rsidRDefault="00292DF5" w:rsidP="006266C6">
      <w:pPr>
        <w:tabs>
          <w:tab w:val="left" w:pos="0"/>
        </w:tabs>
        <w:spacing w:before="40" w:after="40"/>
        <w:jc w:val="both"/>
        <w:rPr>
          <w:rFonts w:ascii="Times New Roman" w:hAnsi="Times New Roman"/>
          <w:sz w:val="24"/>
          <w:szCs w:val="24"/>
        </w:rPr>
      </w:pPr>
    </w:p>
    <w:p w:rsidR="00292DF5" w:rsidRPr="00666900" w:rsidRDefault="00292DF5" w:rsidP="006266C6">
      <w:pPr>
        <w:jc w:val="both"/>
        <w:rPr>
          <w:rFonts w:ascii="Times New Roman" w:hAnsi="Times New Roman"/>
          <w:b/>
          <w:sz w:val="24"/>
          <w:szCs w:val="24"/>
        </w:rPr>
      </w:pPr>
      <w:r w:rsidRPr="00666900">
        <w:rPr>
          <w:rFonts w:ascii="Times New Roman" w:hAnsi="Times New Roman"/>
          <w:b/>
          <w:sz w:val="24"/>
          <w:szCs w:val="24"/>
        </w:rPr>
        <w:t>Transposition</w:t>
      </w:r>
    </w:p>
    <w:p w:rsidR="00292DF5" w:rsidRPr="00666900" w:rsidRDefault="00292DF5" w:rsidP="006266C6">
      <w:pPr>
        <w:pStyle w:val="ListParagraph"/>
        <w:numPr>
          <w:ilvl w:val="0"/>
          <w:numId w:val="2"/>
        </w:numPr>
        <w:jc w:val="both"/>
        <w:rPr>
          <w:b/>
        </w:rPr>
      </w:pPr>
      <w:r w:rsidRPr="00666900">
        <w:rPr>
          <w:b/>
        </w:rPr>
        <w:t>Which parts of the Directive have been transposed?</w:t>
      </w:r>
    </w:p>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rPr>
        <w:t>The Directive is in the very early stage of transposition. Annex I and part b of Annex II of this Directive have been fully transposed by the Decree on classification of underground and surface waters (Official Gazette of the Republic of Montenegro 02/07).</w:t>
      </w:r>
    </w:p>
    <w:p w:rsidR="00292DF5" w:rsidRPr="00666900" w:rsidRDefault="00292DF5" w:rsidP="006266C6">
      <w:pPr>
        <w:pStyle w:val="ListParagraph"/>
        <w:numPr>
          <w:ilvl w:val="0"/>
          <w:numId w:val="2"/>
        </w:numPr>
        <w:jc w:val="both"/>
        <w:rPr>
          <w:b/>
        </w:rPr>
      </w:pPr>
      <w:r w:rsidRPr="00666900">
        <w:rPr>
          <w:b/>
        </w:rPr>
        <w:t xml:space="preserve">How and when will the remaining provisions be transposed? </w:t>
      </w:r>
    </w:p>
    <w:p w:rsidR="00666900" w:rsidRPr="00666900" w:rsidRDefault="00666900" w:rsidP="00666900">
      <w:pPr>
        <w:pStyle w:val="ListParagraph"/>
        <w:jc w:val="both"/>
        <w:rPr>
          <w:b/>
        </w:rPr>
      </w:pPr>
    </w:p>
    <w:p w:rsidR="00292DF5" w:rsidRPr="00666900" w:rsidRDefault="00292DF5" w:rsidP="006266C6">
      <w:pPr>
        <w:pStyle w:val="RENA-normal"/>
        <w:rPr>
          <w:rFonts w:ascii="Times New Roman" w:hAnsi="Times New Roman" w:cs="Times New Roman"/>
          <w:sz w:val="24"/>
          <w:lang w:val="en-GB"/>
        </w:rPr>
      </w:pPr>
      <w:r w:rsidRPr="00666900">
        <w:rPr>
          <w:rFonts w:ascii="Times New Roman" w:hAnsi="Times New Roman" w:cs="Times New Roman"/>
          <w:sz w:val="24"/>
          <w:lang w:val="en-GB"/>
        </w:rPr>
        <w:t xml:space="preserve">The main legal instruments planned to achieve complete transposition are the amendments to the </w:t>
      </w:r>
      <w:r w:rsidRPr="00666900">
        <w:rPr>
          <w:rStyle w:val="hps"/>
          <w:rFonts w:ascii="Times New Roman" w:hAnsi="Times New Roman"/>
          <w:sz w:val="24"/>
          <w:lang w:val="en-GB"/>
        </w:rPr>
        <w:t>Law on Water defining the Act on protection of groundwater against pollution and deterioration, planned for 2015.</w:t>
      </w:r>
    </w:p>
    <w:p w:rsidR="00292DF5" w:rsidRPr="00666900" w:rsidRDefault="00292DF5" w:rsidP="006266C6">
      <w:pPr>
        <w:pStyle w:val="RENA-normal"/>
        <w:rPr>
          <w:rFonts w:ascii="Times New Roman" w:hAnsi="Times New Roman" w:cs="Times New Roman"/>
          <w:color w:val="1F497D"/>
          <w:sz w:val="24"/>
          <w:lang w:val="en-GB"/>
        </w:rPr>
      </w:pPr>
      <w:r w:rsidRPr="00666900">
        <w:rPr>
          <w:rFonts w:ascii="Times New Roman" w:hAnsi="Times New Roman" w:cs="Times New Roman"/>
          <w:sz w:val="24"/>
          <w:lang w:val="en-GB"/>
        </w:rPr>
        <w:t xml:space="preserve">The transposition is planned to be finalized by 2015, according to the Progress Monitoring </w:t>
      </w:r>
      <w:proofErr w:type="gramStart"/>
      <w:r w:rsidRPr="00666900">
        <w:rPr>
          <w:rFonts w:ascii="Times New Roman" w:hAnsi="Times New Roman" w:cs="Times New Roman"/>
          <w:sz w:val="24"/>
          <w:lang w:val="en-GB"/>
        </w:rPr>
        <w:t>2012  data</w:t>
      </w:r>
      <w:proofErr w:type="gramEnd"/>
      <w:r w:rsidRPr="00666900">
        <w:rPr>
          <w:rFonts w:ascii="Times New Roman" w:hAnsi="Times New Roman" w:cs="Times New Roman"/>
          <w:color w:val="1F497D"/>
          <w:sz w:val="24"/>
          <w:lang w:val="en-GB"/>
        </w:rPr>
        <w:t xml:space="preserve">. </w:t>
      </w:r>
    </w:p>
    <w:p w:rsidR="00292DF5" w:rsidRPr="00666900" w:rsidRDefault="00292DF5" w:rsidP="006266C6">
      <w:pPr>
        <w:tabs>
          <w:tab w:val="left" w:pos="0"/>
        </w:tabs>
        <w:spacing w:before="40" w:after="40"/>
        <w:jc w:val="both"/>
        <w:rPr>
          <w:rFonts w:ascii="Times New Roman" w:hAnsi="Times New Roman"/>
          <w:sz w:val="24"/>
          <w:szCs w:val="24"/>
        </w:rPr>
      </w:pPr>
    </w:p>
    <w:p w:rsidR="00292DF5" w:rsidRPr="00666900" w:rsidRDefault="00292DF5" w:rsidP="006266C6">
      <w:pPr>
        <w:jc w:val="both"/>
        <w:rPr>
          <w:rFonts w:ascii="Times New Roman" w:hAnsi="Times New Roman"/>
          <w:b/>
          <w:sz w:val="24"/>
          <w:szCs w:val="24"/>
        </w:rPr>
      </w:pPr>
      <w:r w:rsidRPr="00666900">
        <w:rPr>
          <w:rFonts w:ascii="Times New Roman" w:hAnsi="Times New Roman"/>
          <w:b/>
          <w:sz w:val="24"/>
          <w:szCs w:val="24"/>
        </w:rPr>
        <w:t>Implementation</w:t>
      </w:r>
    </w:p>
    <w:p w:rsidR="00292DF5" w:rsidRPr="00666900" w:rsidRDefault="00292DF5" w:rsidP="006266C6">
      <w:pPr>
        <w:jc w:val="both"/>
        <w:rPr>
          <w:rFonts w:ascii="Times New Roman" w:hAnsi="Times New Roman"/>
          <w:b/>
          <w:sz w:val="24"/>
          <w:szCs w:val="24"/>
        </w:rPr>
      </w:pPr>
      <w:r w:rsidRPr="00666900">
        <w:rPr>
          <w:rFonts w:ascii="Times New Roman" w:hAnsi="Times New Roman"/>
          <w:b/>
          <w:sz w:val="24"/>
          <w:szCs w:val="24"/>
        </w:rPr>
        <w:t xml:space="preserve">What has been achieved as </w:t>
      </w:r>
      <w:proofErr w:type="gramStart"/>
      <w:r w:rsidRPr="00666900">
        <w:rPr>
          <w:rFonts w:ascii="Times New Roman" w:hAnsi="Times New Roman"/>
          <w:b/>
          <w:sz w:val="24"/>
          <w:szCs w:val="24"/>
        </w:rPr>
        <w:t>regards:</w:t>
      </w:r>
      <w:proofErr w:type="gramEnd"/>
      <w:r w:rsidRPr="00666900">
        <w:rPr>
          <w:rFonts w:ascii="Times New Roman" w:hAnsi="Times New Roman"/>
          <w:b/>
          <w:sz w:val="24"/>
          <w:szCs w:val="24"/>
        </w:rPr>
        <w:t xml:space="preserve"> </w:t>
      </w:r>
    </w:p>
    <w:p w:rsidR="00292DF5" w:rsidRPr="00666900" w:rsidRDefault="00292DF5" w:rsidP="006266C6">
      <w:pPr>
        <w:numPr>
          <w:ilvl w:val="0"/>
          <w:numId w:val="1"/>
        </w:numPr>
        <w:tabs>
          <w:tab w:val="left" w:pos="0"/>
        </w:tabs>
        <w:spacing w:after="0" w:line="240" w:lineRule="auto"/>
        <w:ind w:left="709" w:hanging="357"/>
        <w:jc w:val="both"/>
        <w:rPr>
          <w:rFonts w:ascii="Times New Roman" w:hAnsi="Times New Roman"/>
          <w:b/>
          <w:sz w:val="24"/>
          <w:szCs w:val="24"/>
        </w:rPr>
      </w:pPr>
      <w:r w:rsidRPr="00666900">
        <w:rPr>
          <w:rFonts w:ascii="Times New Roman" w:hAnsi="Times New Roman"/>
          <w:b/>
          <w:sz w:val="24"/>
          <w:szCs w:val="24"/>
        </w:rPr>
        <w:t>Establishing groundwater threshold values (Art. 3)</w:t>
      </w:r>
    </w:p>
    <w:p w:rsidR="00292DF5" w:rsidRPr="00666900" w:rsidRDefault="00292DF5" w:rsidP="006266C6">
      <w:pPr>
        <w:tabs>
          <w:tab w:val="left" w:pos="0"/>
        </w:tabs>
        <w:jc w:val="both"/>
        <w:rPr>
          <w:rFonts w:ascii="Times New Roman" w:hAnsi="Times New Roman"/>
          <w:b/>
          <w:sz w:val="24"/>
          <w:szCs w:val="24"/>
        </w:rPr>
      </w:pPr>
    </w:p>
    <w:p w:rsidR="00292DF5" w:rsidRPr="00666900" w:rsidRDefault="00292DF5" w:rsidP="006266C6">
      <w:pPr>
        <w:tabs>
          <w:tab w:val="left" w:pos="0"/>
        </w:tabs>
        <w:jc w:val="both"/>
        <w:rPr>
          <w:rFonts w:ascii="Times New Roman" w:hAnsi="Times New Roman"/>
          <w:sz w:val="24"/>
          <w:szCs w:val="24"/>
        </w:rPr>
      </w:pPr>
      <w:proofErr w:type="gramStart"/>
      <w:r w:rsidRPr="00666900">
        <w:rPr>
          <w:rFonts w:ascii="Times New Roman" w:hAnsi="Times New Roman"/>
          <w:sz w:val="24"/>
          <w:szCs w:val="24"/>
        </w:rPr>
        <w:t>On the basis of Art.</w:t>
      </w:r>
      <w:proofErr w:type="gramEnd"/>
      <w:r w:rsidRPr="00666900">
        <w:rPr>
          <w:rFonts w:ascii="Times New Roman" w:hAnsi="Times New Roman"/>
          <w:sz w:val="24"/>
          <w:szCs w:val="24"/>
        </w:rPr>
        <w:t xml:space="preserve"> 75 paragraph 6 and Art. 76 </w:t>
      </w:r>
      <w:proofErr w:type="gramStart"/>
      <w:r w:rsidRPr="00666900">
        <w:rPr>
          <w:rFonts w:ascii="Times New Roman" w:hAnsi="Times New Roman"/>
          <w:sz w:val="24"/>
          <w:szCs w:val="24"/>
        </w:rPr>
        <w:t>paragraph</w:t>
      </w:r>
      <w:proofErr w:type="gramEnd"/>
      <w:r w:rsidRPr="00666900">
        <w:rPr>
          <w:rFonts w:ascii="Times New Roman" w:hAnsi="Times New Roman"/>
          <w:sz w:val="24"/>
          <w:szCs w:val="24"/>
        </w:rPr>
        <w:t xml:space="preserve"> 2 of the Law on Waters ("Official Gazette of the Republic of Montenegro" No. 27/07), the Government of the Republic of Montenegro adopted the Regulation on the classification and categorization of surface and ground water ("Official Gazette of Montenegro", no. 2/07 of 29 October 2007). Under this Regulation the bodies of groundwater used for water supply and the food industry are valid limit values </w:t>
      </w:r>
      <w:r w:rsidRPr="00666900">
        <w:rPr>
          <w:rFonts w:ascii="Times New Roman" w:eastAsia="MS Mincho" w:hAnsi="Times New Roman"/>
          <w:sz w:val="24"/>
          <w:szCs w:val="24"/>
        </w:rPr>
        <w:t>​​</w:t>
      </w:r>
      <w:r w:rsidRPr="00666900">
        <w:rPr>
          <w:rFonts w:ascii="Times New Roman" w:hAnsi="Times New Roman"/>
          <w:sz w:val="24"/>
          <w:szCs w:val="24"/>
        </w:rPr>
        <w:t xml:space="preserve">(threshold </w:t>
      </w:r>
      <w:proofErr w:type="gramStart"/>
      <w:r w:rsidRPr="00666900">
        <w:rPr>
          <w:rFonts w:ascii="Times New Roman" w:hAnsi="Times New Roman"/>
          <w:sz w:val="24"/>
          <w:szCs w:val="24"/>
        </w:rPr>
        <w:t>values</w:t>
      </w:r>
      <w:r w:rsidRPr="00666900">
        <w:rPr>
          <w:rFonts w:ascii="Times New Roman" w:eastAsia="MS Mincho" w:hAnsi="Times New Roman"/>
          <w:sz w:val="24"/>
          <w:szCs w:val="24"/>
        </w:rPr>
        <w:t>​​</w:t>
      </w:r>
      <w:r w:rsidRPr="00666900">
        <w:rPr>
          <w:rFonts w:ascii="Times New Roman" w:hAnsi="Times New Roman"/>
          <w:sz w:val="24"/>
          <w:szCs w:val="24"/>
        </w:rPr>
        <w:t>)</w:t>
      </w:r>
      <w:proofErr w:type="gramEnd"/>
      <w:r w:rsidRPr="00666900">
        <w:rPr>
          <w:rFonts w:ascii="Times New Roman" w:hAnsi="Times New Roman"/>
          <w:sz w:val="24"/>
          <w:szCs w:val="24"/>
        </w:rPr>
        <w:t xml:space="preserve"> required for Class A (to be determined complete management plans at catchment areas of river basins or parts of them), the rest of the body other than groundwater of groundwater within the zone) are valid limits for Class A1 (Table 1), and for groundwater bodies within the zone (and source Zeta Chapter) applicable limits for Class A2 (Table 1). Limits for </w:t>
      </w:r>
      <w:proofErr w:type="spellStart"/>
      <w:r w:rsidRPr="00666900">
        <w:rPr>
          <w:rFonts w:ascii="Times New Roman" w:hAnsi="Times New Roman"/>
          <w:sz w:val="24"/>
          <w:szCs w:val="24"/>
        </w:rPr>
        <w:t>trichlorethylene</w:t>
      </w:r>
      <w:proofErr w:type="spellEnd"/>
      <w:r w:rsidRPr="00666900">
        <w:rPr>
          <w:rFonts w:ascii="Times New Roman" w:hAnsi="Times New Roman"/>
          <w:sz w:val="24"/>
          <w:szCs w:val="24"/>
        </w:rPr>
        <w:t xml:space="preserve"> and </w:t>
      </w:r>
      <w:proofErr w:type="spellStart"/>
      <w:r w:rsidRPr="00666900">
        <w:rPr>
          <w:rFonts w:ascii="Times New Roman" w:hAnsi="Times New Roman"/>
          <w:sz w:val="24"/>
          <w:szCs w:val="24"/>
        </w:rPr>
        <w:t>tetrachlorethylene</w:t>
      </w:r>
      <w:proofErr w:type="spellEnd"/>
      <w:r w:rsidRPr="00666900">
        <w:rPr>
          <w:rFonts w:ascii="Times New Roman" w:hAnsi="Times New Roman"/>
          <w:sz w:val="24"/>
          <w:szCs w:val="24"/>
        </w:rPr>
        <w:t xml:space="preserve"> were not identified yet.</w:t>
      </w:r>
    </w:p>
    <w:p w:rsidR="00292DF5" w:rsidRPr="00666900" w:rsidRDefault="00292DF5" w:rsidP="006266C6">
      <w:pPr>
        <w:jc w:val="both"/>
        <w:rPr>
          <w:rFonts w:ascii="Times New Roman" w:hAnsi="Times New Roman"/>
          <w:color w:val="003366"/>
          <w:sz w:val="24"/>
          <w:szCs w:val="24"/>
        </w:rPr>
      </w:pPr>
    </w:p>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rPr>
        <w:t>Tabular presentation of limit values (</w:t>
      </w:r>
      <w:r w:rsidRPr="00666900">
        <w:rPr>
          <w:rFonts w:ascii="Times New Roman" w:hAnsi="Times New Roman"/>
          <w:i/>
          <w:sz w:val="24"/>
          <w:szCs w:val="24"/>
        </w:rPr>
        <w:t>threshold values</w:t>
      </w:r>
      <w:r w:rsidRPr="00666900">
        <w:rPr>
          <w:rFonts w:ascii="Times New Roman" w:hAnsi="Times New Roman"/>
          <w:sz w:val="24"/>
          <w:szCs w:val="24"/>
        </w:rPr>
        <w:t>) for classes A, A1 and A2</w:t>
      </w:r>
    </w:p>
    <w:tbl>
      <w:tblPr>
        <w:tblW w:w="7003"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723"/>
        <w:gridCol w:w="1496"/>
        <w:gridCol w:w="1429"/>
        <w:gridCol w:w="1510"/>
        <w:gridCol w:w="1922"/>
      </w:tblGrid>
      <w:tr w:rsidR="00292DF5" w:rsidRPr="00666900" w:rsidTr="00EF4E4A">
        <w:trPr>
          <w:cantSplit/>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Indicators </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Units of measurement </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 A</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A1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A2</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pH</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6,80-8,30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6,80-8,50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6,50- 8,50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Color (after regular filtration)</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mg/l</w:t>
            </w:r>
          </w:p>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Pt scale</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Turbidity</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NTU</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Total suspended matter</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&lt;10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Temperature</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˚C</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8-12</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9-12</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6</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Electrolytic conductivity</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μs/cm at 20˚C</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300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400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600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7</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 Ca/Mg ratio</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Mol </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2-3</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2-3</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2-4</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8</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Odor (at  25˚C)</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Faktor razbl. </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9</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Nitrates - NO3</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Nitrites - NO2</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0,003</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11</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Fluorides</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12</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Dissolved iron</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0,3</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13</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Mangan</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0,005</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14</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Copper</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0,005</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0,02</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15</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Zink</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16</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Boron</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0,5</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17</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Berylium</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18</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Cobalt</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19</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Nickel</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0,002</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0,002</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lastRenderedPageBreak/>
              <w:t>20</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Vanadium</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0,020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21</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Arsenic</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22</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Cadmium</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23</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Total chromium</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24</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Lead</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25</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Selenium</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26</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Mercury</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27</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Barium</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0,7</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28</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Cyanide</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29</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Sulfates</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30</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Chlorides</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31</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Uranium </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μBq/l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32</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Surface active agents (react with methyl blue)</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mg/l</w:t>
            </w:r>
          </w:p>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(lazri-</w:t>
            </w:r>
          </w:p>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sulphates)</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0,02</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33</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Ortophosphates</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mg/l</w:t>
            </w:r>
          </w:p>
          <w:p w:rsidR="00292DF5" w:rsidRPr="00666900" w:rsidRDefault="00292DF5" w:rsidP="006266C6">
            <w:pPr>
              <w:jc w:val="both"/>
              <w:rPr>
                <w:rFonts w:ascii="Times New Roman" w:hAnsi="Times New Roman"/>
                <w:sz w:val="24"/>
                <w:szCs w:val="24"/>
                <w:vertAlign w:val="subscript"/>
              </w:rPr>
            </w:pPr>
            <w:r w:rsidRPr="00666900">
              <w:rPr>
                <w:rFonts w:ascii="Times New Roman" w:hAnsi="Times New Roman"/>
                <w:sz w:val="24"/>
                <w:szCs w:val="24"/>
                <w:lang w:val="sr-Latn-CS"/>
              </w:rPr>
              <w:t>PO</w:t>
            </w:r>
            <w:r w:rsidRPr="00666900">
              <w:rPr>
                <w:rFonts w:ascii="Times New Roman" w:hAnsi="Times New Roman"/>
                <w:sz w:val="24"/>
                <w:szCs w:val="24"/>
                <w:vertAlign w:val="subscript"/>
                <w:lang w:val="sr-Latn-CS"/>
              </w:rPr>
              <w:t>4</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0,02</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34</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Phenols</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mg/l</w:t>
            </w:r>
          </w:p>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C</w:t>
            </w:r>
            <w:r w:rsidRPr="00666900">
              <w:rPr>
                <w:rFonts w:ascii="Times New Roman" w:hAnsi="Times New Roman"/>
                <w:sz w:val="24"/>
                <w:szCs w:val="24"/>
                <w:vertAlign w:val="subscript"/>
                <w:lang w:val="sr-Latn-CS"/>
              </w:rPr>
              <w:t>6</w:t>
            </w:r>
            <w:r w:rsidRPr="00666900">
              <w:rPr>
                <w:rFonts w:ascii="Times New Roman" w:hAnsi="Times New Roman"/>
                <w:sz w:val="24"/>
                <w:szCs w:val="24"/>
                <w:lang w:val="sr-Latn-CS"/>
              </w:rPr>
              <w:t>H</w:t>
            </w:r>
            <w:r w:rsidRPr="00666900">
              <w:rPr>
                <w:rFonts w:ascii="Times New Roman" w:hAnsi="Times New Roman"/>
                <w:sz w:val="24"/>
                <w:szCs w:val="24"/>
                <w:vertAlign w:val="subscript"/>
                <w:lang w:val="sr-Latn-CS"/>
              </w:rPr>
              <w:t>5</w:t>
            </w:r>
            <w:r w:rsidRPr="00666900">
              <w:rPr>
                <w:rFonts w:ascii="Times New Roman" w:hAnsi="Times New Roman"/>
                <w:sz w:val="24"/>
                <w:szCs w:val="24"/>
                <w:lang w:val="sr-Latn-CS"/>
              </w:rPr>
              <w:t>OH</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0,0005</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35</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Total mineral oils</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36</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Polycyclic aromatic hydrocarbons</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0,0002</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0,0002</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37</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Total pesticide</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0,001</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lastRenderedPageBreak/>
              <w:t>38</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vertAlign w:val="subscript"/>
                <w:lang w:val="sr-Latn-CS"/>
              </w:rPr>
            </w:pPr>
            <w:r w:rsidRPr="00666900">
              <w:rPr>
                <w:rFonts w:ascii="Times New Roman" w:hAnsi="Times New Roman"/>
                <w:sz w:val="24"/>
                <w:szCs w:val="24"/>
                <w:lang w:val="sr-Latn-CS"/>
              </w:rPr>
              <w:t>Chemical oxygen consumtion</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mg/l</w:t>
            </w:r>
          </w:p>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O</w:t>
            </w:r>
            <w:r w:rsidRPr="00666900">
              <w:rPr>
                <w:rFonts w:ascii="Times New Roman" w:hAnsi="Times New Roman"/>
                <w:sz w:val="24"/>
                <w:szCs w:val="24"/>
                <w:vertAlign w:val="subscript"/>
                <w:lang w:val="sr-Latn-CS"/>
              </w:rPr>
              <w:t>2</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39</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Oxidability</w:t>
            </w:r>
          </w:p>
        </w:tc>
        <w:tc>
          <w:tcPr>
            <w:tcW w:w="959" w:type="dxa"/>
          </w:tcPr>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de-DE"/>
              </w:rPr>
              <w:t xml:space="preserve">mg </w:t>
            </w:r>
            <w:r w:rsidRPr="00666900">
              <w:rPr>
                <w:rFonts w:ascii="Times New Roman" w:hAnsi="Times New Roman"/>
                <w:sz w:val="24"/>
                <w:szCs w:val="24"/>
                <w:lang w:val="sr-Latn-CS"/>
              </w:rPr>
              <w:t>KMnO</w:t>
            </w:r>
            <w:r w:rsidRPr="00666900">
              <w:rPr>
                <w:rFonts w:ascii="Times New Roman" w:hAnsi="Times New Roman"/>
                <w:sz w:val="24"/>
                <w:szCs w:val="24"/>
                <w:vertAlign w:val="subscript"/>
                <w:lang w:val="sr-Latn-CS"/>
              </w:rPr>
              <w:t>4</w:t>
            </w:r>
            <w:r w:rsidRPr="00666900">
              <w:rPr>
                <w:rFonts w:ascii="Times New Roman" w:hAnsi="Times New Roman"/>
                <w:sz w:val="24"/>
                <w:szCs w:val="24"/>
                <w:lang w:val="sr-Latn-CS"/>
              </w:rPr>
              <w:t>/l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8</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40</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Degree of saturation of dissolved oxygen</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w:t>
            </w:r>
          </w:p>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O</w:t>
            </w:r>
            <w:r w:rsidRPr="00666900">
              <w:rPr>
                <w:rFonts w:ascii="Times New Roman" w:hAnsi="Times New Roman"/>
                <w:sz w:val="24"/>
                <w:szCs w:val="24"/>
                <w:vertAlign w:val="subscript"/>
                <w:lang w:val="sr-Latn-CS"/>
              </w:rPr>
              <w:t>2</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75</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80-110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80-120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41</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Biochemical oxygen consumption  (BPK</w:t>
            </w:r>
            <w:r w:rsidRPr="00666900">
              <w:rPr>
                <w:rFonts w:ascii="Times New Roman" w:hAnsi="Times New Roman"/>
                <w:sz w:val="24"/>
                <w:szCs w:val="24"/>
                <w:vertAlign w:val="subscript"/>
                <w:lang w:val="sr-Latn-CS"/>
              </w:rPr>
              <w:t>5</w:t>
            </w:r>
            <w:r w:rsidRPr="00666900">
              <w:rPr>
                <w:rFonts w:ascii="Times New Roman" w:hAnsi="Times New Roman"/>
                <w:sz w:val="24"/>
                <w:szCs w:val="24"/>
                <w:lang w:val="sr-Latn-CS"/>
              </w:rPr>
              <w:t>)</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mg/l</w:t>
            </w:r>
          </w:p>
          <w:p w:rsidR="00292DF5" w:rsidRPr="00666900" w:rsidRDefault="00292DF5" w:rsidP="006266C6">
            <w:pPr>
              <w:jc w:val="both"/>
              <w:rPr>
                <w:rFonts w:ascii="Times New Roman" w:hAnsi="Times New Roman"/>
                <w:sz w:val="24"/>
                <w:szCs w:val="24"/>
                <w:lang w:val="de-DE"/>
              </w:rPr>
            </w:pPr>
            <w:r w:rsidRPr="00666900">
              <w:rPr>
                <w:rFonts w:ascii="Times New Roman" w:hAnsi="Times New Roman"/>
                <w:sz w:val="24"/>
                <w:szCs w:val="24"/>
                <w:lang w:val="sr-Latn-CS"/>
              </w:rPr>
              <w:t>O</w:t>
            </w:r>
            <w:r w:rsidRPr="00666900">
              <w:rPr>
                <w:rFonts w:ascii="Times New Roman" w:hAnsi="Times New Roman"/>
                <w:sz w:val="24"/>
                <w:szCs w:val="24"/>
                <w:vertAlign w:val="subscript"/>
                <w:lang w:val="sr-Latn-CS"/>
              </w:rPr>
              <w:t>2</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3</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42</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Ammonium ion</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0,02</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0,05</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43</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Chloroform extracted matters</w:t>
            </w:r>
          </w:p>
        </w:tc>
        <w:tc>
          <w:tcPr>
            <w:tcW w:w="959" w:type="dxa"/>
          </w:tcPr>
          <w:p w:rsidR="00292DF5" w:rsidRPr="00666900" w:rsidRDefault="00292DF5" w:rsidP="006266C6">
            <w:pPr>
              <w:jc w:val="both"/>
              <w:rPr>
                <w:rFonts w:ascii="Times New Roman" w:hAnsi="Times New Roman"/>
                <w:sz w:val="24"/>
                <w:szCs w:val="24"/>
                <w:lang w:val="sr-Latn-CS"/>
              </w:rPr>
            </w:pPr>
            <w:r w:rsidRPr="00666900">
              <w:rPr>
                <w:rFonts w:ascii="Times New Roman" w:hAnsi="Times New Roman"/>
                <w:sz w:val="24"/>
                <w:szCs w:val="24"/>
                <w:lang w:val="sr-Latn-CS"/>
              </w:rPr>
              <w:t>mg/l</w:t>
            </w:r>
          </w:p>
          <w:p w:rsidR="00292DF5" w:rsidRPr="00666900" w:rsidRDefault="00292DF5" w:rsidP="006266C6">
            <w:pPr>
              <w:jc w:val="both"/>
              <w:rPr>
                <w:rFonts w:ascii="Times New Roman" w:hAnsi="Times New Roman"/>
                <w:sz w:val="24"/>
                <w:szCs w:val="24"/>
                <w:lang w:val="de-DE"/>
              </w:rPr>
            </w:pP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&lt; from GD* </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0,01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0,2</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44</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Total organic carbon  (C)</w:t>
            </w:r>
          </w:p>
        </w:tc>
        <w:tc>
          <w:tcPr>
            <w:tcW w:w="959" w:type="dxa"/>
          </w:tcPr>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lang w:val="sr-Latn-CS"/>
              </w:rPr>
              <w:t>mg/l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45</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Total coliform 37˚C</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/1ml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500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46</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Fecal coliform</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/100ml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2000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47</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Fecal streptococci</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/100ml</w:t>
            </w: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&lt; from GD*</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20</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1000</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48</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Salmonella </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Not present in 5000 ml</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Not present in 5000 ml</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Nt present in 1000 ml</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49</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Saprobity </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xenosaprobe</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Oligosaprobe</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Betamezosaprobe</w:t>
            </w:r>
          </w:p>
        </w:tc>
      </w:tr>
      <w:tr w:rsidR="00292DF5" w:rsidRPr="00666900" w:rsidTr="00EF4E4A">
        <w:trPr>
          <w:jc w:val="center"/>
        </w:trPr>
        <w:tc>
          <w:tcPr>
            <w:tcW w:w="45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50</w:t>
            </w:r>
          </w:p>
        </w:tc>
        <w:tc>
          <w:tcPr>
            <w:tcW w:w="1994"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 xml:space="preserve"> Saprobity index</w:t>
            </w:r>
          </w:p>
        </w:tc>
        <w:tc>
          <w:tcPr>
            <w:tcW w:w="959" w:type="dxa"/>
          </w:tcPr>
          <w:p w:rsidR="00292DF5" w:rsidRPr="00666900" w:rsidRDefault="00292DF5" w:rsidP="006266C6">
            <w:pPr>
              <w:autoSpaceDE w:val="0"/>
              <w:autoSpaceDN w:val="0"/>
              <w:adjustRightInd w:val="0"/>
              <w:jc w:val="both"/>
              <w:rPr>
                <w:rFonts w:ascii="Times New Roman" w:hAnsi="Times New Roman"/>
                <w:sz w:val="24"/>
                <w:szCs w:val="24"/>
                <w:lang w:val="sr-Latn-CS"/>
              </w:rPr>
            </w:pPr>
          </w:p>
        </w:tc>
        <w:tc>
          <w:tcPr>
            <w:tcW w:w="1272"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1,0</w:t>
            </w:r>
          </w:p>
        </w:tc>
        <w:tc>
          <w:tcPr>
            <w:tcW w:w="1216"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1,5</w:t>
            </w:r>
          </w:p>
        </w:tc>
        <w:tc>
          <w:tcPr>
            <w:tcW w:w="1110" w:type="dxa"/>
          </w:tcPr>
          <w:p w:rsidR="00292DF5" w:rsidRPr="00666900" w:rsidRDefault="00292DF5" w:rsidP="006266C6">
            <w:pPr>
              <w:autoSpaceDE w:val="0"/>
              <w:autoSpaceDN w:val="0"/>
              <w:adjustRightInd w:val="0"/>
              <w:jc w:val="both"/>
              <w:rPr>
                <w:rFonts w:ascii="Times New Roman" w:hAnsi="Times New Roman"/>
                <w:sz w:val="24"/>
                <w:szCs w:val="24"/>
                <w:lang w:val="sr-Latn-CS"/>
              </w:rPr>
            </w:pPr>
            <w:r w:rsidRPr="00666900">
              <w:rPr>
                <w:rFonts w:ascii="Times New Roman" w:hAnsi="Times New Roman"/>
                <w:sz w:val="24"/>
                <w:szCs w:val="24"/>
                <w:lang w:val="sr-Latn-CS"/>
              </w:rPr>
              <w:t>1,8</w:t>
            </w:r>
          </w:p>
        </w:tc>
      </w:tr>
    </w:tbl>
    <w:p w:rsidR="00292DF5" w:rsidRPr="00666900" w:rsidRDefault="00292DF5" w:rsidP="006266C6">
      <w:pPr>
        <w:tabs>
          <w:tab w:val="left" w:pos="0"/>
        </w:tabs>
        <w:jc w:val="both"/>
        <w:rPr>
          <w:rFonts w:ascii="Times New Roman" w:hAnsi="Times New Roman"/>
          <w:sz w:val="24"/>
          <w:szCs w:val="24"/>
        </w:rPr>
      </w:pPr>
    </w:p>
    <w:p w:rsidR="00292DF5" w:rsidRPr="00666900" w:rsidRDefault="00292DF5" w:rsidP="00666900">
      <w:pPr>
        <w:numPr>
          <w:ilvl w:val="0"/>
          <w:numId w:val="1"/>
        </w:numPr>
        <w:tabs>
          <w:tab w:val="left" w:pos="0"/>
        </w:tabs>
        <w:spacing w:after="0" w:line="240" w:lineRule="auto"/>
        <w:jc w:val="both"/>
        <w:rPr>
          <w:rFonts w:ascii="Times New Roman" w:hAnsi="Times New Roman"/>
          <w:b/>
          <w:sz w:val="24"/>
          <w:szCs w:val="24"/>
        </w:rPr>
      </w:pPr>
      <w:r w:rsidRPr="00666900">
        <w:rPr>
          <w:rFonts w:ascii="Times New Roman" w:hAnsi="Times New Roman"/>
          <w:b/>
          <w:sz w:val="24"/>
          <w:szCs w:val="24"/>
        </w:rPr>
        <w:t>Assessing groundwater chemical status (Art. 4)</w:t>
      </w:r>
    </w:p>
    <w:p w:rsidR="00666900" w:rsidRPr="00666900" w:rsidRDefault="00666900" w:rsidP="00666900">
      <w:pPr>
        <w:tabs>
          <w:tab w:val="left" w:pos="0"/>
        </w:tabs>
        <w:spacing w:after="0" w:line="240" w:lineRule="auto"/>
        <w:ind w:left="709"/>
        <w:jc w:val="both"/>
        <w:rPr>
          <w:rFonts w:ascii="Times New Roman" w:hAnsi="Times New Roman"/>
          <w:b/>
          <w:sz w:val="24"/>
          <w:szCs w:val="24"/>
        </w:rPr>
      </w:pPr>
    </w:p>
    <w:p w:rsidR="00292DF5" w:rsidRPr="00666900" w:rsidRDefault="00292DF5" w:rsidP="006266C6">
      <w:pPr>
        <w:tabs>
          <w:tab w:val="left" w:pos="0"/>
        </w:tabs>
        <w:jc w:val="both"/>
        <w:rPr>
          <w:rFonts w:ascii="Times New Roman" w:hAnsi="Times New Roman"/>
          <w:sz w:val="24"/>
          <w:szCs w:val="24"/>
        </w:rPr>
      </w:pPr>
      <w:r w:rsidRPr="00666900">
        <w:rPr>
          <w:rFonts w:ascii="Times New Roman" w:hAnsi="Times New Roman"/>
          <w:sz w:val="24"/>
          <w:szCs w:val="24"/>
        </w:rPr>
        <w:t xml:space="preserve">Systematic examination of the quality characteristics of groundwater in Montenegro </w:t>
      </w:r>
      <w:r w:rsidR="00EC0BCF" w:rsidRPr="00666900">
        <w:rPr>
          <w:rFonts w:ascii="Times New Roman" w:hAnsi="Times New Roman"/>
          <w:sz w:val="24"/>
          <w:szCs w:val="24"/>
        </w:rPr>
        <w:t>is done by</w:t>
      </w:r>
      <w:r w:rsidRPr="00666900">
        <w:rPr>
          <w:rFonts w:ascii="Times New Roman" w:hAnsi="Times New Roman"/>
          <w:sz w:val="24"/>
          <w:szCs w:val="24"/>
        </w:rPr>
        <w:t xml:space="preserve"> </w:t>
      </w:r>
      <w:proofErr w:type="spellStart"/>
      <w:r w:rsidRPr="00666900">
        <w:rPr>
          <w:rFonts w:ascii="Times New Roman" w:hAnsi="Times New Roman"/>
          <w:sz w:val="24"/>
          <w:szCs w:val="24"/>
        </w:rPr>
        <w:t>Hydrometeorological</w:t>
      </w:r>
      <w:proofErr w:type="spellEnd"/>
      <w:r w:rsidRPr="00666900">
        <w:rPr>
          <w:rFonts w:ascii="Times New Roman" w:hAnsi="Times New Roman"/>
          <w:sz w:val="24"/>
          <w:szCs w:val="24"/>
        </w:rPr>
        <w:t xml:space="preserve"> Institute of Montenegro as part of its core business and competencies, as defined by the Law on Water (Official Gazette of Montenegro, no. 27/07). Groundwater quality monitoring is currently performed at the sources that are used for water supply (groundwater provides about 92% of the total amount of water for cities) and 9 points (wells) that are included in the annual program of systematic testing of water quality (it should be noted that of the territory of Montenegro is 13 812 km2). The bodies of groundwater used for water supply of the population and the food industry accounts for the "class" </w:t>
      </w:r>
      <w:proofErr w:type="spellStart"/>
      <w:r w:rsidRPr="00666900">
        <w:rPr>
          <w:rFonts w:ascii="Times New Roman" w:hAnsi="Times New Roman"/>
          <w:sz w:val="24"/>
          <w:szCs w:val="24"/>
        </w:rPr>
        <w:t>ie</w:t>
      </w:r>
      <w:proofErr w:type="spellEnd"/>
      <w:r w:rsidRPr="00666900">
        <w:rPr>
          <w:rFonts w:ascii="Times New Roman" w:hAnsi="Times New Roman"/>
          <w:sz w:val="24"/>
          <w:szCs w:val="24"/>
        </w:rPr>
        <w:t xml:space="preserve">. </w:t>
      </w:r>
      <w:proofErr w:type="gramStart"/>
      <w:r w:rsidRPr="00666900">
        <w:rPr>
          <w:rFonts w:ascii="Times New Roman" w:hAnsi="Times New Roman"/>
          <w:sz w:val="24"/>
          <w:szCs w:val="24"/>
        </w:rPr>
        <w:t>have</w:t>
      </w:r>
      <w:proofErr w:type="gramEnd"/>
      <w:r w:rsidRPr="00666900">
        <w:rPr>
          <w:rFonts w:ascii="Times New Roman" w:hAnsi="Times New Roman"/>
          <w:sz w:val="24"/>
          <w:szCs w:val="24"/>
        </w:rPr>
        <w:t xml:space="preserve"> good chemical status (good chemical status) if they meet the standards prescribed for Class A. For the rest of the bodies of groundwater (except groundwater bodies within the zone), it is calculated that they have a good chemical status if they meet the standards prescribed for Class A1, for groundwater bodies within the zone are calculated to have a good chemical status if they meet the standards set for Class A2.</w:t>
      </w:r>
    </w:p>
    <w:p w:rsidR="00292DF5" w:rsidRPr="00666900" w:rsidRDefault="00292DF5" w:rsidP="006266C6">
      <w:pPr>
        <w:numPr>
          <w:ilvl w:val="0"/>
          <w:numId w:val="1"/>
        </w:numPr>
        <w:tabs>
          <w:tab w:val="left" w:pos="0"/>
        </w:tabs>
        <w:spacing w:after="0" w:line="240" w:lineRule="auto"/>
        <w:ind w:left="709" w:hanging="357"/>
        <w:jc w:val="both"/>
        <w:rPr>
          <w:rFonts w:ascii="Times New Roman" w:hAnsi="Times New Roman"/>
          <w:b/>
          <w:sz w:val="24"/>
          <w:szCs w:val="24"/>
        </w:rPr>
      </w:pPr>
      <w:r w:rsidRPr="00666900">
        <w:rPr>
          <w:rFonts w:ascii="Times New Roman" w:hAnsi="Times New Roman"/>
          <w:b/>
          <w:sz w:val="24"/>
          <w:szCs w:val="24"/>
        </w:rPr>
        <w:t>Establishing a procedure and methodology for identifying and reversing significant and sustained upward trends (Art. 5)</w:t>
      </w:r>
    </w:p>
    <w:p w:rsidR="00292DF5" w:rsidRPr="00666900" w:rsidRDefault="00292DF5" w:rsidP="006266C6">
      <w:pPr>
        <w:tabs>
          <w:tab w:val="left" w:pos="0"/>
        </w:tabs>
        <w:jc w:val="both"/>
        <w:rPr>
          <w:rFonts w:ascii="Times New Roman" w:hAnsi="Times New Roman"/>
          <w:sz w:val="24"/>
          <w:szCs w:val="24"/>
        </w:rPr>
      </w:pPr>
    </w:p>
    <w:p w:rsidR="00292DF5" w:rsidRPr="00666900" w:rsidRDefault="00292DF5" w:rsidP="006266C6">
      <w:pPr>
        <w:tabs>
          <w:tab w:val="left" w:pos="0"/>
        </w:tabs>
        <w:jc w:val="both"/>
        <w:rPr>
          <w:rFonts w:ascii="Times New Roman" w:hAnsi="Times New Roman"/>
          <w:sz w:val="24"/>
          <w:szCs w:val="24"/>
        </w:rPr>
      </w:pPr>
      <w:r w:rsidRPr="00666900">
        <w:rPr>
          <w:rFonts w:ascii="Times New Roman" w:hAnsi="Times New Roman"/>
          <w:sz w:val="24"/>
          <w:szCs w:val="24"/>
        </w:rPr>
        <w:t xml:space="preserve">Article 73, paragraph 2 of the </w:t>
      </w:r>
      <w:r w:rsidR="00EC0BCF" w:rsidRPr="00666900">
        <w:rPr>
          <w:rFonts w:ascii="Times New Roman" w:hAnsi="Times New Roman"/>
          <w:sz w:val="24"/>
          <w:szCs w:val="24"/>
        </w:rPr>
        <w:t>Law on Water</w:t>
      </w:r>
      <w:r w:rsidRPr="00666900">
        <w:rPr>
          <w:rFonts w:ascii="Times New Roman" w:hAnsi="Times New Roman"/>
          <w:sz w:val="24"/>
          <w:szCs w:val="24"/>
        </w:rPr>
        <w:t xml:space="preserve"> defines the objectives of groundwater in listing the following two objectives:</w:t>
      </w:r>
    </w:p>
    <w:p w:rsidR="00292DF5" w:rsidRPr="00666900" w:rsidRDefault="00292DF5" w:rsidP="006266C6">
      <w:pPr>
        <w:tabs>
          <w:tab w:val="left" w:pos="0"/>
        </w:tabs>
        <w:jc w:val="both"/>
        <w:rPr>
          <w:rFonts w:ascii="Times New Roman" w:hAnsi="Times New Roman"/>
          <w:sz w:val="24"/>
          <w:szCs w:val="24"/>
        </w:rPr>
      </w:pPr>
      <w:r w:rsidRPr="00666900">
        <w:rPr>
          <w:rFonts w:ascii="Times New Roman" w:hAnsi="Times New Roman"/>
          <w:sz w:val="24"/>
          <w:szCs w:val="24"/>
        </w:rPr>
        <w:t>- Prevent or limit the input of pollutants in groundwater and prevent deterioration of the status of all bodies of groundwater;</w:t>
      </w:r>
    </w:p>
    <w:p w:rsidR="00292DF5" w:rsidRPr="00666900" w:rsidRDefault="00292DF5" w:rsidP="006266C6">
      <w:pPr>
        <w:tabs>
          <w:tab w:val="left" w:pos="0"/>
        </w:tabs>
        <w:jc w:val="both"/>
        <w:rPr>
          <w:rFonts w:ascii="Times New Roman" w:hAnsi="Times New Roman"/>
          <w:sz w:val="24"/>
          <w:szCs w:val="24"/>
        </w:rPr>
      </w:pPr>
      <w:r w:rsidRPr="00666900">
        <w:rPr>
          <w:rFonts w:ascii="Times New Roman" w:hAnsi="Times New Roman"/>
          <w:sz w:val="24"/>
          <w:szCs w:val="24"/>
        </w:rPr>
        <w:t xml:space="preserve">- Reducing the significant increase in the concentration of pollution resulting from the impact </w:t>
      </w:r>
      <w:r w:rsidR="00EC0BCF" w:rsidRPr="00666900">
        <w:rPr>
          <w:rFonts w:ascii="Times New Roman" w:hAnsi="Times New Roman"/>
          <w:sz w:val="24"/>
          <w:szCs w:val="24"/>
        </w:rPr>
        <w:t xml:space="preserve">of </w:t>
      </w:r>
      <w:r w:rsidRPr="00666900">
        <w:rPr>
          <w:rFonts w:ascii="Times New Roman" w:hAnsi="Times New Roman"/>
          <w:sz w:val="24"/>
          <w:szCs w:val="24"/>
        </w:rPr>
        <w:t xml:space="preserve">human activities in order </w:t>
      </w:r>
      <w:r w:rsidR="00EC0BCF" w:rsidRPr="00666900">
        <w:rPr>
          <w:rFonts w:ascii="Times New Roman" w:hAnsi="Times New Roman"/>
          <w:sz w:val="24"/>
          <w:szCs w:val="24"/>
        </w:rPr>
        <w:t xml:space="preserve">to </w:t>
      </w:r>
      <w:proofErr w:type="gramStart"/>
      <w:r w:rsidRPr="00666900">
        <w:rPr>
          <w:rFonts w:ascii="Times New Roman" w:hAnsi="Times New Roman"/>
          <w:sz w:val="24"/>
          <w:szCs w:val="24"/>
        </w:rPr>
        <w:t>progressively  reduce</w:t>
      </w:r>
      <w:proofErr w:type="gramEnd"/>
      <w:r w:rsidRPr="00666900">
        <w:rPr>
          <w:rFonts w:ascii="Times New Roman" w:hAnsi="Times New Roman"/>
          <w:sz w:val="24"/>
          <w:szCs w:val="24"/>
        </w:rPr>
        <w:t xml:space="preserve"> pollution of groundwater.</w:t>
      </w:r>
    </w:p>
    <w:p w:rsidR="00292DF5" w:rsidRPr="00666900" w:rsidRDefault="00292DF5" w:rsidP="006266C6">
      <w:pPr>
        <w:tabs>
          <w:tab w:val="left" w:pos="0"/>
        </w:tabs>
        <w:jc w:val="both"/>
        <w:rPr>
          <w:rFonts w:ascii="Times New Roman" w:hAnsi="Times New Roman"/>
          <w:sz w:val="24"/>
          <w:szCs w:val="24"/>
        </w:rPr>
      </w:pPr>
      <w:r w:rsidRPr="00666900">
        <w:rPr>
          <w:rFonts w:ascii="Times New Roman" w:hAnsi="Times New Roman"/>
          <w:sz w:val="24"/>
          <w:szCs w:val="24"/>
        </w:rPr>
        <w:t>Procedures and methodologies for the identification and reversal of significant and sustained upward trends (procedures and methodology for identifying and reversing significant and sustained upward trends) was not legally established, however, the Environmental Protection Agency (EPA) in its annual report shows a comparative analysis of the concentration of pollutants detected in groundwater in the last 4 years, based on what they can see potential upward trend (upward trends).</w:t>
      </w:r>
    </w:p>
    <w:p w:rsidR="00292DF5" w:rsidRPr="00666900" w:rsidRDefault="00292DF5" w:rsidP="006266C6">
      <w:pPr>
        <w:numPr>
          <w:ilvl w:val="0"/>
          <w:numId w:val="3"/>
        </w:numPr>
        <w:tabs>
          <w:tab w:val="left" w:pos="0"/>
        </w:tabs>
        <w:jc w:val="both"/>
        <w:rPr>
          <w:rFonts w:ascii="Times New Roman" w:hAnsi="Times New Roman"/>
          <w:b/>
          <w:sz w:val="24"/>
          <w:szCs w:val="24"/>
        </w:rPr>
      </w:pPr>
      <w:r w:rsidRPr="00666900">
        <w:rPr>
          <w:rFonts w:ascii="Times New Roman" w:hAnsi="Times New Roman"/>
          <w:b/>
          <w:sz w:val="24"/>
          <w:szCs w:val="24"/>
        </w:rPr>
        <w:t>Establishing measures for preventing inputs into groundwater of hazardous substances (Art. 6)</w:t>
      </w:r>
    </w:p>
    <w:p w:rsidR="00292DF5" w:rsidRPr="00666900" w:rsidRDefault="00292DF5" w:rsidP="006266C6">
      <w:pPr>
        <w:tabs>
          <w:tab w:val="left" w:pos="0"/>
        </w:tabs>
        <w:jc w:val="both"/>
        <w:rPr>
          <w:rFonts w:ascii="Times New Roman" w:hAnsi="Times New Roman"/>
          <w:sz w:val="24"/>
          <w:szCs w:val="24"/>
        </w:rPr>
      </w:pPr>
      <w:r w:rsidRPr="00666900">
        <w:rPr>
          <w:rFonts w:ascii="Times New Roman" w:hAnsi="Times New Roman"/>
          <w:sz w:val="24"/>
          <w:szCs w:val="24"/>
        </w:rPr>
        <w:t>The Law on Water (Article 73, paragraph 2</w:t>
      </w:r>
      <w:proofErr w:type="gramStart"/>
      <w:r w:rsidRPr="00666900">
        <w:rPr>
          <w:rFonts w:ascii="Times New Roman" w:hAnsi="Times New Roman"/>
          <w:sz w:val="24"/>
          <w:szCs w:val="24"/>
        </w:rPr>
        <w:t>)  defined</w:t>
      </w:r>
      <w:proofErr w:type="gramEnd"/>
      <w:r w:rsidRPr="00666900">
        <w:rPr>
          <w:rFonts w:ascii="Times New Roman" w:hAnsi="Times New Roman"/>
          <w:sz w:val="24"/>
          <w:szCs w:val="24"/>
        </w:rPr>
        <w:t xml:space="preserve"> objectives of groundwater as mentioned above. In addition, the</w:t>
      </w:r>
      <w:r w:rsidR="00EC0BCF" w:rsidRPr="00666900">
        <w:rPr>
          <w:rFonts w:ascii="Times New Roman" w:hAnsi="Times New Roman"/>
          <w:sz w:val="24"/>
          <w:szCs w:val="24"/>
        </w:rPr>
        <w:t xml:space="preserve">re is </w:t>
      </w:r>
      <w:proofErr w:type="gramStart"/>
      <w:r w:rsidR="00EC0BCF" w:rsidRPr="00666900">
        <w:rPr>
          <w:rFonts w:ascii="Times New Roman" w:hAnsi="Times New Roman"/>
          <w:sz w:val="24"/>
          <w:szCs w:val="24"/>
        </w:rPr>
        <w:t xml:space="preserve">the </w:t>
      </w:r>
      <w:r w:rsidRPr="00666900">
        <w:rPr>
          <w:rFonts w:ascii="Times New Roman" w:hAnsi="Times New Roman"/>
          <w:sz w:val="24"/>
          <w:szCs w:val="24"/>
        </w:rPr>
        <w:t xml:space="preserve"> Rulebook</w:t>
      </w:r>
      <w:proofErr w:type="gramEnd"/>
      <w:r w:rsidRPr="00666900">
        <w:rPr>
          <w:rFonts w:ascii="Times New Roman" w:hAnsi="Times New Roman"/>
          <w:sz w:val="24"/>
          <w:szCs w:val="24"/>
        </w:rPr>
        <w:t xml:space="preserve"> on the determination and maintenance of zones of sanitary protection of the water supply, which is needed to implement appropriate restrictions in the use of hazardous substances in separate zones. However, not all</w:t>
      </w:r>
      <w:r w:rsidR="00EC0BCF" w:rsidRPr="00666900">
        <w:rPr>
          <w:rFonts w:ascii="Times New Roman" w:hAnsi="Times New Roman"/>
          <w:sz w:val="24"/>
          <w:szCs w:val="24"/>
        </w:rPr>
        <w:t xml:space="preserve"> </w:t>
      </w:r>
      <w:proofErr w:type="gramStart"/>
      <w:r w:rsidR="00EC0BCF" w:rsidRPr="00666900">
        <w:rPr>
          <w:rFonts w:ascii="Times New Roman" w:hAnsi="Times New Roman"/>
          <w:sz w:val="24"/>
          <w:szCs w:val="24"/>
        </w:rPr>
        <w:t xml:space="preserve">the </w:t>
      </w:r>
      <w:r w:rsidRPr="00666900">
        <w:rPr>
          <w:rFonts w:ascii="Times New Roman" w:hAnsi="Times New Roman"/>
          <w:sz w:val="24"/>
          <w:szCs w:val="24"/>
        </w:rPr>
        <w:t xml:space="preserve"> </w:t>
      </w:r>
      <w:r w:rsidR="00EC0BCF" w:rsidRPr="00666900">
        <w:rPr>
          <w:rFonts w:ascii="Times New Roman" w:hAnsi="Times New Roman"/>
          <w:sz w:val="24"/>
          <w:szCs w:val="24"/>
        </w:rPr>
        <w:t>prescribed</w:t>
      </w:r>
      <w:proofErr w:type="gramEnd"/>
      <w:r w:rsidR="00EC0BCF" w:rsidRPr="00666900">
        <w:rPr>
          <w:rFonts w:ascii="Times New Roman" w:hAnsi="Times New Roman"/>
          <w:sz w:val="24"/>
          <w:szCs w:val="24"/>
        </w:rPr>
        <w:t xml:space="preserve"> </w:t>
      </w:r>
      <w:r w:rsidRPr="00666900">
        <w:rPr>
          <w:rFonts w:ascii="Times New Roman" w:hAnsi="Times New Roman"/>
          <w:sz w:val="24"/>
          <w:szCs w:val="24"/>
        </w:rPr>
        <w:t xml:space="preserve"> measures </w:t>
      </w:r>
      <w:r w:rsidR="00EC0BCF" w:rsidRPr="00666900">
        <w:rPr>
          <w:rFonts w:ascii="Times New Roman" w:hAnsi="Times New Roman"/>
          <w:sz w:val="24"/>
          <w:szCs w:val="24"/>
        </w:rPr>
        <w:t xml:space="preserve">laid that </w:t>
      </w:r>
      <w:r w:rsidRPr="00666900">
        <w:rPr>
          <w:rFonts w:ascii="Times New Roman" w:hAnsi="Times New Roman"/>
          <w:sz w:val="24"/>
          <w:szCs w:val="24"/>
        </w:rPr>
        <w:t xml:space="preserve"> by Directive which should be done in the next period.</w:t>
      </w:r>
    </w:p>
    <w:p w:rsidR="00292DF5" w:rsidRPr="00666900" w:rsidRDefault="00292DF5" w:rsidP="00666900">
      <w:pPr>
        <w:numPr>
          <w:ilvl w:val="0"/>
          <w:numId w:val="3"/>
        </w:numPr>
        <w:tabs>
          <w:tab w:val="left" w:pos="0"/>
        </w:tabs>
        <w:jc w:val="both"/>
        <w:rPr>
          <w:rFonts w:ascii="Times New Roman" w:hAnsi="Times New Roman"/>
          <w:b/>
          <w:sz w:val="24"/>
          <w:szCs w:val="24"/>
        </w:rPr>
      </w:pPr>
      <w:r w:rsidRPr="00666900">
        <w:rPr>
          <w:rFonts w:ascii="Times New Roman" w:hAnsi="Times New Roman"/>
          <w:b/>
          <w:sz w:val="24"/>
          <w:szCs w:val="24"/>
        </w:rPr>
        <w:lastRenderedPageBreak/>
        <w:t xml:space="preserve">Establishing measures for limiting inputs into groundwater of non-hazardous substances </w:t>
      </w:r>
      <w:r w:rsidR="00666900" w:rsidRPr="00666900">
        <w:rPr>
          <w:rFonts w:ascii="Times New Roman" w:hAnsi="Times New Roman"/>
          <w:b/>
          <w:sz w:val="24"/>
          <w:szCs w:val="24"/>
        </w:rPr>
        <w:t>(</w:t>
      </w:r>
      <w:r w:rsidRPr="00666900">
        <w:rPr>
          <w:rFonts w:ascii="Times New Roman" w:hAnsi="Times New Roman"/>
          <w:b/>
          <w:sz w:val="24"/>
          <w:szCs w:val="24"/>
        </w:rPr>
        <w:t>Art 6)</w:t>
      </w:r>
    </w:p>
    <w:p w:rsidR="00292DF5" w:rsidRPr="00666900" w:rsidRDefault="00292DF5" w:rsidP="00666900">
      <w:pPr>
        <w:tabs>
          <w:tab w:val="left" w:pos="0"/>
        </w:tabs>
        <w:jc w:val="both"/>
        <w:rPr>
          <w:rFonts w:ascii="Times New Roman" w:hAnsi="Times New Roman"/>
          <w:sz w:val="24"/>
          <w:szCs w:val="24"/>
        </w:rPr>
      </w:pPr>
      <w:r w:rsidRPr="00666900">
        <w:rPr>
          <w:rFonts w:ascii="Times New Roman" w:hAnsi="Times New Roman"/>
          <w:sz w:val="24"/>
          <w:szCs w:val="24"/>
        </w:rPr>
        <w:t xml:space="preserve">Same answer as the previous </w:t>
      </w:r>
      <w:proofErr w:type="gramStart"/>
      <w:r w:rsidRPr="00666900">
        <w:rPr>
          <w:rFonts w:ascii="Times New Roman" w:hAnsi="Times New Roman"/>
          <w:sz w:val="24"/>
          <w:szCs w:val="24"/>
        </w:rPr>
        <w:t>question .</w:t>
      </w:r>
      <w:proofErr w:type="gramEnd"/>
    </w:p>
    <w:p w:rsidR="00292DF5" w:rsidRPr="00666900" w:rsidRDefault="00292DF5" w:rsidP="00666900">
      <w:pPr>
        <w:numPr>
          <w:ilvl w:val="0"/>
          <w:numId w:val="3"/>
        </w:numPr>
        <w:jc w:val="both"/>
        <w:rPr>
          <w:rFonts w:ascii="Times New Roman" w:hAnsi="Times New Roman"/>
          <w:b/>
          <w:sz w:val="24"/>
          <w:szCs w:val="24"/>
        </w:rPr>
      </w:pPr>
      <w:r w:rsidRPr="00666900">
        <w:rPr>
          <w:rFonts w:ascii="Times New Roman" w:hAnsi="Times New Roman"/>
          <w:b/>
          <w:sz w:val="24"/>
          <w:szCs w:val="24"/>
        </w:rPr>
        <w:t>Establishing an inventory of exemptions referred to in Art 6 (3)</w:t>
      </w:r>
    </w:p>
    <w:p w:rsidR="00292DF5" w:rsidRPr="00666900" w:rsidRDefault="00292DF5" w:rsidP="006266C6">
      <w:pPr>
        <w:jc w:val="both"/>
        <w:rPr>
          <w:rFonts w:ascii="Times New Roman" w:hAnsi="Times New Roman"/>
          <w:sz w:val="24"/>
          <w:szCs w:val="24"/>
        </w:rPr>
      </w:pPr>
      <w:r w:rsidRPr="00666900">
        <w:rPr>
          <w:rFonts w:ascii="Times New Roman" w:hAnsi="Times New Roman"/>
          <w:sz w:val="24"/>
          <w:szCs w:val="24"/>
        </w:rPr>
        <w:t>Not determined yet.</w:t>
      </w:r>
    </w:p>
    <w:p w:rsidR="00292DF5" w:rsidRPr="00666900" w:rsidRDefault="00292DF5" w:rsidP="006266C6">
      <w:pPr>
        <w:jc w:val="both"/>
        <w:rPr>
          <w:rFonts w:ascii="Times New Roman" w:hAnsi="Times New Roman"/>
          <w:sz w:val="24"/>
          <w:szCs w:val="24"/>
        </w:rPr>
      </w:pPr>
    </w:p>
    <w:sectPr w:rsidR="00292DF5" w:rsidRPr="00666900" w:rsidSect="003D76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7F32"/>
    <w:multiLevelType w:val="hybridMultilevel"/>
    <w:tmpl w:val="FE64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1D710C"/>
    <w:multiLevelType w:val="hybridMultilevel"/>
    <w:tmpl w:val="1A2EB854"/>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7B6108EF"/>
    <w:multiLevelType w:val="hybridMultilevel"/>
    <w:tmpl w:val="C8B42D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45C19"/>
    <w:rsid w:val="000054F8"/>
    <w:rsid w:val="00040F27"/>
    <w:rsid w:val="000A1649"/>
    <w:rsid w:val="000D4D81"/>
    <w:rsid w:val="0011171C"/>
    <w:rsid w:val="00156898"/>
    <w:rsid w:val="001A7F97"/>
    <w:rsid w:val="0022379D"/>
    <w:rsid w:val="00292DF5"/>
    <w:rsid w:val="002A3D39"/>
    <w:rsid w:val="003444FA"/>
    <w:rsid w:val="003D7642"/>
    <w:rsid w:val="003E158E"/>
    <w:rsid w:val="004B0648"/>
    <w:rsid w:val="004D10E7"/>
    <w:rsid w:val="00532E20"/>
    <w:rsid w:val="005C2570"/>
    <w:rsid w:val="005F3E0D"/>
    <w:rsid w:val="006069A3"/>
    <w:rsid w:val="00620DDB"/>
    <w:rsid w:val="006266C6"/>
    <w:rsid w:val="00666900"/>
    <w:rsid w:val="00691E17"/>
    <w:rsid w:val="00745C19"/>
    <w:rsid w:val="0074601F"/>
    <w:rsid w:val="007B6515"/>
    <w:rsid w:val="007D3981"/>
    <w:rsid w:val="0082177B"/>
    <w:rsid w:val="00857EB3"/>
    <w:rsid w:val="0086055E"/>
    <w:rsid w:val="008C42B4"/>
    <w:rsid w:val="008F6C3C"/>
    <w:rsid w:val="00931F67"/>
    <w:rsid w:val="00996E3E"/>
    <w:rsid w:val="009B056E"/>
    <w:rsid w:val="009D3B9F"/>
    <w:rsid w:val="00A051D0"/>
    <w:rsid w:val="00A4242F"/>
    <w:rsid w:val="00A662DC"/>
    <w:rsid w:val="00A97033"/>
    <w:rsid w:val="00AA06D5"/>
    <w:rsid w:val="00AC44D0"/>
    <w:rsid w:val="00AD2B84"/>
    <w:rsid w:val="00AF540B"/>
    <w:rsid w:val="00B03D22"/>
    <w:rsid w:val="00C16158"/>
    <w:rsid w:val="00C712E0"/>
    <w:rsid w:val="00C76162"/>
    <w:rsid w:val="00CC4DB4"/>
    <w:rsid w:val="00D04BB4"/>
    <w:rsid w:val="00D103DD"/>
    <w:rsid w:val="00D45FCA"/>
    <w:rsid w:val="00E04A42"/>
    <w:rsid w:val="00E551D5"/>
    <w:rsid w:val="00EC0BCF"/>
    <w:rsid w:val="00EE6A4C"/>
    <w:rsid w:val="00EF4E4A"/>
    <w:rsid w:val="00F04653"/>
    <w:rsid w:val="00F25D64"/>
    <w:rsid w:val="00F74EA6"/>
    <w:rsid w:val="00FB6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6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5C19"/>
    <w:pPr>
      <w:spacing w:after="0" w:line="240" w:lineRule="auto"/>
      <w:ind w:left="720"/>
      <w:contextualSpacing/>
    </w:pPr>
    <w:rPr>
      <w:rFonts w:ascii="Times New Roman" w:hAnsi="Times New Roman"/>
      <w:sz w:val="24"/>
      <w:szCs w:val="24"/>
      <w:lang w:val="en-GB" w:eastAsia="en-GB"/>
    </w:rPr>
  </w:style>
  <w:style w:type="paragraph" w:customStyle="1" w:styleId="RENA-normal">
    <w:name w:val="RENA-normal"/>
    <w:basedOn w:val="Normal"/>
    <w:link w:val="RENA-normalChar"/>
    <w:uiPriority w:val="99"/>
    <w:rsid w:val="00745C19"/>
    <w:pPr>
      <w:spacing w:after="120" w:line="240" w:lineRule="auto"/>
      <w:jc w:val="both"/>
    </w:pPr>
    <w:rPr>
      <w:rFonts w:ascii="Garamond" w:hAnsi="Garamond" w:cs="Garamond"/>
      <w:szCs w:val="24"/>
    </w:rPr>
  </w:style>
  <w:style w:type="character" w:customStyle="1" w:styleId="RENA-normalChar">
    <w:name w:val="RENA-normal Char"/>
    <w:basedOn w:val="DefaultParagraphFont"/>
    <w:link w:val="RENA-normal"/>
    <w:uiPriority w:val="99"/>
    <w:locked/>
    <w:rsid w:val="00745C19"/>
    <w:rPr>
      <w:rFonts w:ascii="Garamond" w:hAnsi="Garamond" w:cs="Garamond"/>
      <w:sz w:val="24"/>
      <w:szCs w:val="24"/>
    </w:rPr>
  </w:style>
  <w:style w:type="character" w:customStyle="1" w:styleId="hps">
    <w:name w:val="hps"/>
    <w:basedOn w:val="DefaultParagraphFont"/>
    <w:uiPriority w:val="99"/>
    <w:rsid w:val="00745C19"/>
    <w:rPr>
      <w:rFonts w:cs="Times New Roman"/>
    </w:rPr>
  </w:style>
  <w:style w:type="character" w:styleId="CommentReference">
    <w:name w:val="annotation reference"/>
    <w:basedOn w:val="DefaultParagraphFont"/>
    <w:uiPriority w:val="99"/>
    <w:semiHidden/>
    <w:rsid w:val="00745C19"/>
    <w:rPr>
      <w:rFonts w:cs="Times New Roman"/>
      <w:sz w:val="16"/>
      <w:szCs w:val="16"/>
    </w:rPr>
  </w:style>
  <w:style w:type="paragraph" w:styleId="CommentText">
    <w:name w:val="annotation text"/>
    <w:basedOn w:val="Normal"/>
    <w:link w:val="CommentTextChar"/>
    <w:uiPriority w:val="99"/>
    <w:semiHidden/>
    <w:rsid w:val="00745C19"/>
    <w:pPr>
      <w:spacing w:after="0"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uiPriority w:val="99"/>
    <w:semiHidden/>
    <w:locked/>
    <w:rsid w:val="00745C19"/>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rsid w:val="00745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6075</Characters>
  <Application>Microsoft Office Word</Application>
  <DocSecurity>0</DocSecurity>
  <Lines>50</Lines>
  <Paragraphs>14</Paragraphs>
  <ScaleCrop>false</ScaleCrop>
  <Company>Mip</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luka.koprivica</dc:creator>
  <cp:lastModifiedBy>Windows User</cp:lastModifiedBy>
  <cp:revision>2</cp:revision>
  <dcterms:created xsi:type="dcterms:W3CDTF">2020-02-04T15:21:00Z</dcterms:created>
  <dcterms:modified xsi:type="dcterms:W3CDTF">2020-02-04T15:21:00Z</dcterms:modified>
</cp:coreProperties>
</file>